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44D25" w14:textId="6BA86EF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B20435">
        <w:t>-e</w:t>
      </w:r>
      <w:r w:rsidRPr="00CE0424">
        <w:tab/>
      </w:r>
      <w:r w:rsidR="00B20435" w:rsidRPr="00B20435">
        <w:rPr>
          <w:sz w:val="32"/>
          <w:szCs w:val="32"/>
        </w:rPr>
        <w:t>R1-2000942</w:t>
      </w:r>
    </w:p>
    <w:p w14:paraId="04405F55" w14:textId="6001049D" w:rsidR="00E90E49" w:rsidRPr="00CE0424" w:rsidRDefault="00B20435" w:rsidP="00311702">
      <w:pPr>
        <w:pStyle w:val="3GPPHeader"/>
      </w:pPr>
      <w:r>
        <w:t>Online</w:t>
      </w:r>
      <w:r w:rsidRPr="0094495D">
        <w:t xml:space="preserve">, February </w:t>
      </w:r>
      <w:r>
        <w:t>24</w:t>
      </w:r>
      <w:r w:rsidRPr="0094495D">
        <w:rPr>
          <w:vertAlign w:val="superscript"/>
        </w:rPr>
        <w:t>th</w:t>
      </w:r>
      <w:r w:rsidRPr="0094495D">
        <w:t xml:space="preserve"> – </w:t>
      </w:r>
      <w:r>
        <w:t>March 6</w:t>
      </w:r>
      <w:r w:rsidRPr="0094495D">
        <w:rPr>
          <w:vertAlign w:val="superscript"/>
        </w:rPr>
        <w:t>th</w:t>
      </w:r>
      <w:r w:rsidRPr="0094495D">
        <w:t>, 2020</w:t>
      </w:r>
    </w:p>
    <w:p w14:paraId="34960005" w14:textId="77777777" w:rsidR="00E90E49" w:rsidRPr="00CE0424" w:rsidRDefault="00E90E49" w:rsidP="00357380">
      <w:pPr>
        <w:pStyle w:val="3GPPHeader"/>
      </w:pPr>
    </w:p>
    <w:p w14:paraId="798B85DF" w14:textId="648D57F0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B20435" w:rsidRPr="00B20435">
        <w:rPr>
          <w:sz w:val="22"/>
          <w:szCs w:val="22"/>
          <w:lang w:val="sv-FI"/>
        </w:rPr>
        <w:t>6.2.3.1.1</w:t>
      </w:r>
    </w:p>
    <w:p w14:paraId="789BB5D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89C06CC" w14:textId="369CCF5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0435" w:rsidRPr="00B20435">
        <w:rPr>
          <w:sz w:val="22"/>
          <w:szCs w:val="22"/>
        </w:rPr>
        <w:t>Maintenance for additional SRS symbols</w:t>
      </w:r>
    </w:p>
    <w:p w14:paraId="64BD862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C0CC4">
        <w:rPr>
          <w:sz w:val="22"/>
          <w:szCs w:val="22"/>
        </w:rPr>
        <w:t>Discussion, Decision</w:t>
      </w:r>
    </w:p>
    <w:p w14:paraId="55D0F31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C0AA088" w14:textId="49BA1E8E" w:rsidR="00B70B5D" w:rsidRDefault="00B70B5D" w:rsidP="00B70B5D">
      <w:r>
        <w:t>In this paper</w:t>
      </w:r>
      <w:r w:rsidR="00B20435">
        <w:t>,</w:t>
      </w:r>
      <w:r>
        <w:t xml:space="preserve"> we address miscellaneous corrections and clarifications needed related to </w:t>
      </w:r>
      <w:r w:rsidR="00B20435">
        <w:t>Rel-16 LTE Additional SRS</w:t>
      </w:r>
      <w:r>
        <w:t xml:space="preserve">. </w:t>
      </w:r>
    </w:p>
    <w:p w14:paraId="4EBD5FD1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211A9AB" w14:textId="750F4776" w:rsidR="00F63950" w:rsidRDefault="00230D18" w:rsidP="00F63950">
      <w:pPr>
        <w:pStyle w:val="Heading2"/>
      </w:pPr>
      <w:r>
        <w:t>2.1</w:t>
      </w:r>
      <w:r>
        <w:tab/>
      </w:r>
      <w:r w:rsidR="00647671">
        <w:t>On number of SRS types</w:t>
      </w:r>
    </w:p>
    <w:p w14:paraId="0AA6EFAC" w14:textId="12767BB1" w:rsidR="00312669" w:rsidRPr="00647671" w:rsidRDefault="00647671" w:rsidP="00B70B5D">
      <w:r>
        <w:t xml:space="preserve">In clause 5.5.3 of TS36.211, two types of SRSs are defined:  Basic SRS and Additional SRS.  However, in clause 8.2 of TS36.213, three types of SRSs are defined: </w:t>
      </w:r>
      <w:r w:rsidRPr="00647671">
        <w:t>SRS trigger type 0, SRS trigger type 1, and SRS trigger type 2</w:t>
      </w:r>
      <w:r w:rsidRPr="00647671">
        <w:t>.</w:t>
      </w:r>
      <w:r>
        <w:t xml:space="preserve">  Hence, to remove the misalignment with regards to the number of SRS types in these two specifications, we provide a text proposal (TP1) for TS36.211 that removes the terms </w:t>
      </w:r>
      <w:r>
        <w:t>Basic SRS and Additional SRS</w:t>
      </w:r>
      <w:r>
        <w:t>.  In place of these two terms, TP1 introduces the three types of SRSs introduced in TS36.213 into 36.211.</w:t>
      </w:r>
    </w:p>
    <w:p w14:paraId="15DBA3A0" w14:textId="0151A2A1" w:rsidR="00312669" w:rsidRPr="0023226A" w:rsidRDefault="00647671" w:rsidP="0023226A">
      <w:pPr>
        <w:pStyle w:val="Observation"/>
        <w:rPr>
          <w:iCs/>
        </w:rPr>
      </w:pPr>
      <w:bookmarkStart w:id="1" w:name="_Toc32624081"/>
      <w:r>
        <w:t>TS 36.211 introduces two types of SRSs while TS 36.213 introduces 3 types</w:t>
      </w:r>
      <w:r>
        <w:rPr>
          <w:iCs/>
          <w:color w:val="000000"/>
        </w:rPr>
        <w:t xml:space="preserve"> which require alignment of terminology between the two specifications.</w:t>
      </w:r>
      <w:bookmarkEnd w:id="1"/>
    </w:p>
    <w:p w14:paraId="2620EAD2" w14:textId="2DCA017A" w:rsidR="00287838" w:rsidRDefault="004D5A05" w:rsidP="00A04F49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32624084"/>
      <w:r>
        <w:t>Based on</w:t>
      </w:r>
      <w:r w:rsidR="00366FDF">
        <w:t xml:space="preserve"> </w:t>
      </w:r>
      <w:r>
        <w:t>observation</w:t>
      </w:r>
      <w:r w:rsidR="00647671">
        <w:t xml:space="preserve"> 1</w:t>
      </w:r>
      <w:r>
        <w:t xml:space="preserve">, we </w:t>
      </w:r>
      <w:r w:rsidR="00440819">
        <w:t xml:space="preserve">propose to agree </w:t>
      </w:r>
      <w:r w:rsidR="00647671">
        <w:t>TP1 for TS 36.211</w:t>
      </w:r>
      <w:r w:rsidR="00CC2011" w:rsidRPr="00A04F49">
        <w:t>.</w:t>
      </w:r>
      <w:bookmarkEnd w:id="2"/>
      <w:bookmarkEnd w:id="3"/>
      <w:bookmarkEnd w:id="4"/>
      <w:bookmarkEnd w:id="5"/>
    </w:p>
    <w:p w14:paraId="57DD4EE2" w14:textId="77777777" w:rsidR="00B70B5D" w:rsidRDefault="00B70B5D" w:rsidP="004D5A05">
      <w:pPr>
        <w:pStyle w:val="Observation"/>
        <w:numPr>
          <w:ilvl w:val="0"/>
          <w:numId w:val="0"/>
        </w:numPr>
        <w:ind w:left="1701" w:hanging="1701"/>
        <w:rPr>
          <w:b w:val="0"/>
          <w:bCs w:val="0"/>
        </w:rPr>
      </w:pPr>
    </w:p>
    <w:p w14:paraId="7C16036F" w14:textId="5C6EF482" w:rsidR="004D5A05" w:rsidRPr="00B70B5D" w:rsidRDefault="00B70B5D" w:rsidP="00B70B5D">
      <w:r w:rsidRPr="00B70B5D">
        <w:t>--------------------------</w:t>
      </w:r>
      <w:r>
        <w:t xml:space="preserve"> </w:t>
      </w:r>
      <w:r w:rsidR="004D5A05" w:rsidRPr="001E018E">
        <w:rPr>
          <w:sz w:val="36"/>
          <w:szCs w:val="36"/>
        </w:rPr>
        <w:t>Start of proposed TP</w:t>
      </w:r>
      <w:r w:rsidR="007C0CC4">
        <w:rPr>
          <w:sz w:val="36"/>
          <w:szCs w:val="36"/>
        </w:rPr>
        <w:t>1</w:t>
      </w:r>
      <w:r w:rsidRPr="001E018E">
        <w:rPr>
          <w:sz w:val="36"/>
          <w:szCs w:val="36"/>
        </w:rPr>
        <w:t xml:space="preserve"> for </w:t>
      </w:r>
      <w:r w:rsidR="00647671">
        <w:rPr>
          <w:sz w:val="36"/>
          <w:szCs w:val="36"/>
        </w:rPr>
        <w:t xml:space="preserve">TS </w:t>
      </w:r>
      <w:proofErr w:type="gramStart"/>
      <w:r w:rsidRPr="001E018E">
        <w:rPr>
          <w:sz w:val="36"/>
          <w:szCs w:val="36"/>
        </w:rPr>
        <w:t>3</w:t>
      </w:r>
      <w:r w:rsidR="007C0CC4">
        <w:rPr>
          <w:sz w:val="36"/>
          <w:szCs w:val="36"/>
        </w:rPr>
        <w:t>6</w:t>
      </w:r>
      <w:r w:rsidRPr="001E018E">
        <w:rPr>
          <w:sz w:val="36"/>
          <w:szCs w:val="36"/>
        </w:rPr>
        <w:t>.21</w:t>
      </w:r>
      <w:r w:rsidR="007C0CC4">
        <w:rPr>
          <w:sz w:val="36"/>
          <w:szCs w:val="36"/>
        </w:rPr>
        <w:t>1</w:t>
      </w:r>
      <w:r w:rsidRPr="001E018E">
        <w:rPr>
          <w:sz w:val="36"/>
          <w:szCs w:val="36"/>
        </w:rPr>
        <w:t xml:space="preserve"> </w:t>
      </w:r>
      <w:r w:rsidR="004D5A05" w:rsidRPr="001E018E">
        <w:rPr>
          <w:sz w:val="24"/>
          <w:szCs w:val="24"/>
        </w:rPr>
        <w:t xml:space="preserve"> </w:t>
      </w:r>
      <w:r w:rsidR="004D5A05" w:rsidRPr="00B70B5D">
        <w:t>------------------------------------</w:t>
      </w:r>
      <w:proofErr w:type="gramEnd"/>
    </w:p>
    <w:p w14:paraId="28C2DE85" w14:textId="77777777" w:rsidR="0080016C" w:rsidRDefault="0080016C" w:rsidP="0080016C">
      <w:pPr>
        <w:pStyle w:val="Heading4"/>
        <w:rPr>
          <w:lang w:eastAsia="en-US"/>
        </w:rPr>
      </w:pPr>
      <w:bookmarkStart w:id="6" w:name="_Toc454817989"/>
      <w:bookmarkStart w:id="7" w:name="_Toc454817981"/>
      <w:r>
        <w:t>5.5.1.5</w:t>
      </w:r>
      <w:r>
        <w:tab/>
        <w:t>Determining virtual cell identity for sequence generation</w:t>
      </w:r>
      <w:bookmarkEnd w:id="7"/>
    </w:p>
    <w:p w14:paraId="56DF562D" w14:textId="77777777" w:rsidR="0080016C" w:rsidRDefault="0080016C" w:rsidP="0080016C">
      <w:r>
        <w:t xml:space="preserve">The definition of </w:t>
      </w:r>
      <w:r>
        <w:rPr>
          <w:position w:val="-10"/>
        </w:rPr>
        <w:object w:dxaOrig="375" w:dyaOrig="345" w14:anchorId="2AE92C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890" type="#_x0000_t75" style="width:18.8pt;height:17.55pt" o:ole="">
            <v:imagedata r:id="rId8" o:title=""/>
          </v:shape>
          <o:OLEObject Type="Embed" ProgID="Equation.3" ShapeID="_x0000_i1890" DrawAspect="Content" ObjectID="_1643237742" r:id="rId9"/>
        </w:object>
      </w:r>
      <w:r>
        <w:t xml:space="preserve"> depends on the type of transmission.</w:t>
      </w:r>
    </w:p>
    <w:p w14:paraId="50F9EF96" w14:textId="77777777" w:rsidR="0080016C" w:rsidRDefault="0080016C" w:rsidP="0080016C">
      <w:r>
        <w:t>Transmissions associated with PUSCH:</w:t>
      </w:r>
    </w:p>
    <w:p w14:paraId="1F693545" w14:textId="77777777" w:rsidR="0080016C" w:rsidRDefault="0080016C" w:rsidP="0080016C">
      <w:pPr>
        <w:pStyle w:val="B1"/>
      </w:pPr>
      <w:r>
        <w:t>-</w:t>
      </w:r>
      <w:r>
        <w:tab/>
      </w:r>
      <w:r>
        <w:rPr>
          <w:position w:val="-10"/>
        </w:rPr>
        <w:object w:dxaOrig="945" w:dyaOrig="345" w14:anchorId="4E67A595">
          <v:shape id="_x0000_i1891" type="#_x0000_t75" style="width:46.95pt;height:17.55pt" o:ole="">
            <v:imagedata r:id="rId10" o:title=""/>
          </v:shape>
          <o:OLEObject Type="Embed" ProgID="Equation.3" ShapeID="_x0000_i1891" DrawAspect="Content" ObjectID="_1643237743" r:id="rId11"/>
        </w:object>
      </w:r>
      <w:r>
        <w:t xml:space="preserve"> if no value for </w:t>
      </w:r>
      <w:r>
        <w:rPr>
          <w:position w:val="-10"/>
        </w:rPr>
        <w:object w:dxaOrig="660" w:dyaOrig="345" w14:anchorId="7948366B">
          <v:shape id="_x0000_i1892" type="#_x0000_t75" style="width:33.2pt;height:17.55pt" o:ole="">
            <v:imagedata r:id="rId12" o:title=""/>
          </v:shape>
          <o:OLEObject Type="Embed" ProgID="Equation.3" ShapeID="_x0000_i1892" DrawAspect="Content" ObjectID="_1643237744" r:id="rId13"/>
        </w:object>
      </w:r>
      <w:r>
        <w:t xml:space="preserve"> is configured by higher layers or if the PUSCH transmission corresponds to a Random Access Response Grant or a retransmission of the same transport block as part of the contention based random access procedure, </w:t>
      </w:r>
    </w:p>
    <w:p w14:paraId="222D6180" w14:textId="77777777" w:rsidR="0080016C" w:rsidRDefault="0080016C" w:rsidP="0080016C">
      <w:pPr>
        <w:pStyle w:val="B1"/>
      </w:pPr>
      <w:r>
        <w:t>-</w:t>
      </w:r>
      <w:r>
        <w:tab/>
      </w:r>
      <w:r>
        <w:rPr>
          <w:position w:val="-10"/>
        </w:rPr>
        <w:object w:dxaOrig="1155" w:dyaOrig="345" w14:anchorId="625C9949">
          <v:shape id="_x0000_i1893" type="#_x0000_t75" style="width:57.6pt;height:17.55pt" o:ole="">
            <v:imagedata r:id="rId14" o:title=""/>
          </v:shape>
          <o:OLEObject Type="Embed" ProgID="Equation.3" ShapeID="_x0000_i1893" DrawAspect="Content" ObjectID="_1643237745" r:id="rId15"/>
        </w:object>
      </w:r>
      <w:r>
        <w:t xml:space="preserve"> otherwise.</w:t>
      </w:r>
    </w:p>
    <w:p w14:paraId="42021F47" w14:textId="77777777" w:rsidR="0080016C" w:rsidRDefault="0080016C" w:rsidP="0080016C">
      <w:r>
        <w:t>Transmissions associated with SPUCCH/PUCCH:</w:t>
      </w:r>
    </w:p>
    <w:p w14:paraId="6676ADF9" w14:textId="77777777" w:rsidR="0080016C" w:rsidRDefault="0080016C" w:rsidP="0080016C">
      <w:pPr>
        <w:pStyle w:val="B1"/>
      </w:pPr>
      <w:r>
        <w:t>-</w:t>
      </w:r>
      <w:r>
        <w:tab/>
      </w:r>
      <w:r>
        <w:rPr>
          <w:position w:val="-10"/>
        </w:rPr>
        <w:object w:dxaOrig="945" w:dyaOrig="345" w14:anchorId="15716D73">
          <v:shape id="_x0000_i1894" type="#_x0000_t75" style="width:46.95pt;height:17.55pt" o:ole="">
            <v:imagedata r:id="rId10" o:title=""/>
          </v:shape>
          <o:OLEObject Type="Embed" ProgID="Equation.3" ShapeID="_x0000_i1894" DrawAspect="Content" ObjectID="_1643237746" r:id="rId16"/>
        </w:object>
      </w:r>
      <w:r>
        <w:t xml:space="preserve"> if no value for </w:t>
      </w:r>
      <w:r>
        <w:rPr>
          <w:position w:val="-10"/>
        </w:rPr>
        <w:object w:dxaOrig="660" w:dyaOrig="345" w14:anchorId="3B8085C8">
          <v:shape id="_x0000_i1895" type="#_x0000_t75" style="width:33.2pt;height:17.55pt" o:ole="">
            <v:imagedata r:id="rId17" o:title=""/>
          </v:shape>
          <o:OLEObject Type="Embed" ProgID="Equation.3" ShapeID="_x0000_i1895" DrawAspect="Content" ObjectID="_1643237747" r:id="rId18"/>
        </w:object>
      </w:r>
      <w:r>
        <w:t xml:space="preserve"> is configured by higher layers, </w:t>
      </w:r>
    </w:p>
    <w:p w14:paraId="71FD18B9" w14:textId="77777777" w:rsidR="0080016C" w:rsidRDefault="0080016C" w:rsidP="0080016C">
      <w:pPr>
        <w:pStyle w:val="B1"/>
      </w:pPr>
      <w:r>
        <w:t>-</w:t>
      </w:r>
      <w:r>
        <w:tab/>
      </w:r>
      <w:r>
        <w:rPr>
          <w:position w:val="-10"/>
        </w:rPr>
        <w:object w:dxaOrig="1200" w:dyaOrig="345" w14:anchorId="4C991B8D">
          <v:shape id="_x0000_i1896" type="#_x0000_t75" style="width:60.1pt;height:17.55pt" o:ole="">
            <v:imagedata r:id="rId19" o:title=""/>
          </v:shape>
          <o:OLEObject Type="Embed" ProgID="Equation.3" ShapeID="_x0000_i1896" DrawAspect="Content" ObjectID="_1643237748" r:id="rId20"/>
        </w:object>
      </w:r>
      <w:r>
        <w:t xml:space="preserve"> otherwise.</w:t>
      </w:r>
    </w:p>
    <w:p w14:paraId="15AA674C" w14:textId="5507757D" w:rsidR="0080016C" w:rsidRDefault="0080016C" w:rsidP="0080016C">
      <w:r w:rsidRPr="0080016C">
        <w:rPr>
          <w:strike/>
          <w:color w:val="FF0000"/>
        </w:rPr>
        <w:t xml:space="preserve">Basic </w:t>
      </w:r>
      <w:proofErr w:type="spellStart"/>
      <w:r w:rsidRPr="0080016C">
        <w:rPr>
          <w:strike/>
          <w:color w:val="FF0000"/>
        </w:rPr>
        <w:t>s</w:t>
      </w:r>
      <w:r w:rsidRPr="0080016C">
        <w:rPr>
          <w:color w:val="FF0000"/>
        </w:rPr>
        <w:t>S</w:t>
      </w:r>
      <w:r>
        <w:t>ounding</w:t>
      </w:r>
      <w:proofErr w:type="spellEnd"/>
      <w:r>
        <w:t xml:space="preserve"> reference signal</w:t>
      </w:r>
      <w:r w:rsidRPr="001140C5">
        <w:rPr>
          <w:strike/>
          <w:color w:val="FF0000"/>
        </w:rPr>
        <w:t>s</w:t>
      </w:r>
      <w:r>
        <w:t xml:space="preserve"> </w:t>
      </w:r>
      <w:r w:rsidRPr="001140C5">
        <w:rPr>
          <w:color w:val="FF0000"/>
        </w:rPr>
        <w:t xml:space="preserve">transmissions of types 0 and 1 as defined in </w:t>
      </w:r>
      <w:r w:rsidRPr="0080016C">
        <w:rPr>
          <w:color w:val="FF0000"/>
        </w:rPr>
        <w:t>8.2 of [4]</w:t>
      </w:r>
      <w:r>
        <w:t>:</w:t>
      </w:r>
    </w:p>
    <w:p w14:paraId="45498C46" w14:textId="77777777" w:rsidR="0080016C" w:rsidRDefault="0080016C" w:rsidP="0080016C">
      <w:pPr>
        <w:pStyle w:val="B1"/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SRS</m:t>
            </m:r>
          </m:sup>
        </m:sSubSup>
      </m:oMath>
      <w:r>
        <w:t xml:space="preserve"> if the higher-layer parameters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-Identity-Legacy</w:t>
      </w:r>
      <w:r>
        <w:t xml:space="preserve"> and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</w:t>
      </w:r>
      <w:r>
        <w:t xml:space="preserve"> both are configured,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SRS</m:t>
            </m:r>
          </m:sup>
        </m:sSubSup>
      </m:oMath>
      <w:r>
        <w:t xml:space="preserve"> equals the higher-layer parameter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</w:t>
      </w:r>
    </w:p>
    <w:p w14:paraId="31974614" w14:textId="77777777" w:rsidR="0080016C" w:rsidRDefault="0080016C" w:rsidP="0080016C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otherwise.</w:t>
      </w:r>
    </w:p>
    <w:p w14:paraId="13682F48" w14:textId="5EC2209B" w:rsidR="0080016C" w:rsidRDefault="0080016C" w:rsidP="0080016C">
      <w:r w:rsidRPr="0080016C">
        <w:rPr>
          <w:strike/>
          <w:color w:val="FF0000"/>
        </w:rPr>
        <w:t xml:space="preserve">Additional </w:t>
      </w:r>
      <w:proofErr w:type="spellStart"/>
      <w:r w:rsidRPr="0080016C">
        <w:rPr>
          <w:strike/>
          <w:color w:val="FF0000"/>
        </w:rPr>
        <w:t>s</w:t>
      </w:r>
      <w:r w:rsidRPr="0080016C">
        <w:rPr>
          <w:color w:val="FF0000"/>
        </w:rPr>
        <w:t>S</w:t>
      </w:r>
      <w:r>
        <w:t>ounding</w:t>
      </w:r>
      <w:proofErr w:type="spellEnd"/>
      <w:r>
        <w:t xml:space="preserve"> reference signal</w:t>
      </w:r>
      <w:r w:rsidRPr="001140C5">
        <w:rPr>
          <w:strike/>
          <w:color w:val="FF0000"/>
        </w:rPr>
        <w:t>s</w:t>
      </w:r>
      <w:r w:rsidR="001140C5" w:rsidRPr="001140C5">
        <w:rPr>
          <w:color w:val="FF0000"/>
        </w:rPr>
        <w:t xml:space="preserve"> </w:t>
      </w:r>
      <w:r w:rsidR="001140C5" w:rsidRPr="001140C5">
        <w:rPr>
          <w:color w:val="FF0000"/>
        </w:rPr>
        <w:t xml:space="preserve">transmissions of type </w:t>
      </w:r>
      <w:r w:rsidR="001140C5">
        <w:rPr>
          <w:color w:val="FF0000"/>
        </w:rPr>
        <w:t>2</w:t>
      </w:r>
      <w:r w:rsidR="001140C5" w:rsidRPr="001140C5">
        <w:rPr>
          <w:color w:val="FF0000"/>
        </w:rPr>
        <w:t xml:space="preserve"> as defined in </w:t>
      </w:r>
      <w:r w:rsidR="001140C5" w:rsidRPr="0080016C">
        <w:rPr>
          <w:color w:val="FF0000"/>
        </w:rPr>
        <w:t>8.2 of [4]</w:t>
      </w:r>
      <w:r>
        <w:t>:</w:t>
      </w:r>
    </w:p>
    <w:p w14:paraId="1EEA919C" w14:textId="77777777" w:rsidR="0080016C" w:rsidRDefault="0080016C" w:rsidP="0080016C">
      <w:pPr>
        <w:pStyle w:val="B1"/>
        <w:rPr>
          <w:i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if no value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SRS</m:t>
            </m:r>
          </m:sup>
        </m:sSubSup>
      </m:oMath>
      <w:r>
        <w:t xml:space="preserve"> is configured by the higher-layer parameter </w:t>
      </w:r>
      <w:proofErr w:type="spellStart"/>
      <w:r>
        <w:rPr>
          <w:i/>
        </w:rPr>
        <w:t>nSRS</w:t>
      </w:r>
      <w:proofErr w:type="spellEnd"/>
      <w:r>
        <w:rPr>
          <w:i/>
        </w:rPr>
        <w:t>-Identity</w:t>
      </w:r>
    </w:p>
    <w:p w14:paraId="27E0C6D8" w14:textId="77777777" w:rsidR="0080016C" w:rsidRDefault="0080016C" w:rsidP="0080016C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SRS</m:t>
            </m:r>
          </m:sup>
        </m:sSubSup>
      </m:oMath>
      <w:r>
        <w:t xml:space="preserve"> otherwise.</w:t>
      </w:r>
    </w:p>
    <w:p w14:paraId="574BD7F8" w14:textId="77777777" w:rsidR="006539E4" w:rsidRPr="0055088A" w:rsidRDefault="006539E4" w:rsidP="006539E4">
      <w:pPr>
        <w:jc w:val="center"/>
        <w:rPr>
          <w:color w:val="FF0000"/>
          <w:sz w:val="36"/>
          <w:szCs w:val="36"/>
        </w:rPr>
      </w:pPr>
      <w:r w:rsidRPr="00925370">
        <w:rPr>
          <w:color w:val="FF0000"/>
        </w:rPr>
        <w:t>----------</w:t>
      </w:r>
      <w:r>
        <w:rPr>
          <w:color w:val="FF0000"/>
        </w:rPr>
        <w:t>---------------------</w:t>
      </w:r>
      <w:r w:rsidRPr="00925370">
        <w:rPr>
          <w:color w:val="FF0000"/>
        </w:rPr>
        <w:t>----------------</w:t>
      </w:r>
      <w:r w:rsidRPr="0055088A">
        <w:rPr>
          <w:color w:val="FF0000"/>
          <w:sz w:val="36"/>
          <w:szCs w:val="36"/>
        </w:rPr>
        <w:t xml:space="preserve"> Unchanged text omitted </w:t>
      </w:r>
      <w:r w:rsidRPr="00925370">
        <w:rPr>
          <w:color w:val="FF0000"/>
        </w:rPr>
        <w:t>-------------</w:t>
      </w:r>
      <w:r>
        <w:rPr>
          <w:color w:val="FF0000"/>
        </w:rPr>
        <w:t>-------------------</w:t>
      </w:r>
      <w:r w:rsidRPr="00925370">
        <w:rPr>
          <w:color w:val="FF0000"/>
        </w:rPr>
        <w:t>-----------</w:t>
      </w:r>
    </w:p>
    <w:p w14:paraId="32219915" w14:textId="47E1D1B5" w:rsidR="007C0CC4" w:rsidRDefault="007C0CC4" w:rsidP="007C0CC4">
      <w:pPr>
        <w:pStyle w:val="Heading3"/>
        <w:rPr>
          <w:lang w:eastAsia="en-US"/>
        </w:rPr>
      </w:pPr>
      <w:r>
        <w:t>5.5.3</w:t>
      </w:r>
      <w:r>
        <w:tab/>
        <w:t>Sounding reference signal</w:t>
      </w:r>
      <w:bookmarkEnd w:id="6"/>
      <w:r>
        <w:t xml:space="preserve"> </w:t>
      </w:r>
    </w:p>
    <w:p w14:paraId="2F2DCFD8" w14:textId="1952C033" w:rsidR="007C0CC4" w:rsidRPr="007C0CC4" w:rsidRDefault="007C0CC4" w:rsidP="007C0CC4">
      <w:pPr>
        <w:rPr>
          <w:color w:val="FF0000"/>
        </w:rPr>
      </w:pPr>
      <w:r w:rsidRPr="007C0CC4">
        <w:rPr>
          <w:color w:val="FF0000"/>
        </w:rPr>
        <w:t>Three types of sounding reference signals can be configured as defined in 8.2 of [4]</w:t>
      </w:r>
      <w:r>
        <w:rPr>
          <w:color w:val="FF0000"/>
        </w:rPr>
        <w:t xml:space="preserve">:  SRS trigger type 0, </w:t>
      </w:r>
      <w:r w:rsidR="004F3015">
        <w:rPr>
          <w:color w:val="FF0000"/>
        </w:rPr>
        <w:t xml:space="preserve">SRS trigger type </w:t>
      </w:r>
      <w:r>
        <w:rPr>
          <w:color w:val="FF0000"/>
        </w:rPr>
        <w:t xml:space="preserve">1, and </w:t>
      </w:r>
      <w:r w:rsidR="004F3015">
        <w:rPr>
          <w:color w:val="FF0000"/>
        </w:rPr>
        <w:t xml:space="preserve">SRS trigger type </w:t>
      </w:r>
      <w:r>
        <w:rPr>
          <w:color w:val="FF0000"/>
        </w:rPr>
        <w:t>2.</w:t>
      </w:r>
    </w:p>
    <w:p w14:paraId="4DFA900C" w14:textId="50142074" w:rsidR="007C0CC4" w:rsidRPr="007C0CC4" w:rsidRDefault="007C0CC4" w:rsidP="007C0CC4">
      <w:pPr>
        <w:rPr>
          <w:strike/>
          <w:color w:val="FF0000"/>
        </w:rPr>
      </w:pPr>
      <w:r w:rsidRPr="007C0CC4">
        <w:rPr>
          <w:strike/>
          <w:color w:val="FF0000"/>
        </w:rPr>
        <w:t>Two types of sounding reference signals can be configured:</w:t>
      </w:r>
    </w:p>
    <w:p w14:paraId="2074F8E6" w14:textId="77777777" w:rsidR="007C0CC4" w:rsidRPr="007C0CC4" w:rsidRDefault="007C0CC4" w:rsidP="007C0CC4">
      <w:pPr>
        <w:pStyle w:val="B1"/>
        <w:rPr>
          <w:strike/>
          <w:color w:val="FF0000"/>
        </w:rPr>
      </w:pPr>
      <w:r w:rsidRPr="007C0CC4">
        <w:rPr>
          <w:strike/>
          <w:color w:val="FF0000"/>
        </w:rPr>
        <w:t>-</w:t>
      </w:r>
      <w:r w:rsidRPr="007C0CC4">
        <w:rPr>
          <w:strike/>
          <w:color w:val="FF0000"/>
        </w:rPr>
        <w:tab/>
        <w:t>basic sounding reference signal, supporting periodic or aperiodic transmission</w:t>
      </w:r>
    </w:p>
    <w:p w14:paraId="427D4F8B" w14:textId="77777777" w:rsidR="007C0CC4" w:rsidRPr="007C0CC4" w:rsidRDefault="007C0CC4" w:rsidP="007C0CC4">
      <w:pPr>
        <w:pStyle w:val="B1"/>
        <w:rPr>
          <w:strike/>
          <w:color w:val="FF0000"/>
        </w:rPr>
      </w:pPr>
      <w:r w:rsidRPr="007C0CC4">
        <w:rPr>
          <w:strike/>
          <w:color w:val="FF0000"/>
        </w:rPr>
        <w:t>-</w:t>
      </w:r>
      <w:r w:rsidRPr="007C0CC4">
        <w:rPr>
          <w:strike/>
          <w:color w:val="FF0000"/>
        </w:rPr>
        <w:tab/>
        <w:t>additional sounding reference signal, supporting aperiodic transmission only</w:t>
      </w:r>
    </w:p>
    <w:p w14:paraId="5C6165FB" w14:textId="77777777" w:rsidR="007C0CC4" w:rsidRDefault="007C0CC4" w:rsidP="007C0CC4">
      <w:pPr>
        <w:pStyle w:val="Heading4"/>
      </w:pPr>
      <w:bookmarkStart w:id="8" w:name="_Toc454817990"/>
      <w:r>
        <w:t>5.5.3.1</w:t>
      </w:r>
      <w:r>
        <w:tab/>
        <w:t>Sequence generation</w:t>
      </w:r>
      <w:bookmarkEnd w:id="8"/>
    </w:p>
    <w:p w14:paraId="1F9229E6" w14:textId="6CF8254D" w:rsidR="007C0CC4" w:rsidRDefault="007C0CC4" w:rsidP="007C0CC4">
      <w:pPr>
        <w:pStyle w:val="Heading5"/>
      </w:pPr>
      <w:r>
        <w:t>5.5.3.1.1</w:t>
      </w:r>
      <w:r>
        <w:tab/>
        <w:t xml:space="preserve">Sequence generation for </w:t>
      </w:r>
      <w:r w:rsidRPr="007C0CC4">
        <w:rPr>
          <w:color w:val="FF0000"/>
        </w:rPr>
        <w:t xml:space="preserve">SRS trigger types 0 and </w:t>
      </w:r>
      <w:r>
        <w:rPr>
          <w:color w:val="FF0000"/>
        </w:rPr>
        <w:t>1</w:t>
      </w:r>
      <w:r w:rsidRPr="007C0CC4">
        <w:rPr>
          <w:strike/>
          <w:color w:val="FF0000"/>
        </w:rPr>
        <w:t xml:space="preserve"> basic SRS</w:t>
      </w:r>
    </w:p>
    <w:p w14:paraId="455E1C9E" w14:textId="77777777" w:rsidR="007C0CC4" w:rsidRDefault="007C0CC4" w:rsidP="007C0CC4">
      <w:pPr>
        <w:rPr>
          <w:rFonts w:eastAsia="Malgun Gothic"/>
          <w:lang w:eastAsia="ko-KR"/>
        </w:rPr>
      </w:pPr>
      <w:r>
        <w:t xml:space="preserve">The sounding reference signal sequence </w:t>
      </w:r>
      <w:r>
        <w:rPr>
          <w:position w:val="-12"/>
        </w:rPr>
        <w:object w:dxaOrig="1590" w:dyaOrig="435" w14:anchorId="5522F3D6">
          <v:shape id="_x0000_i1039" type="#_x0000_t75" style="width:79.5pt;height:21.9pt" o:ole="">
            <v:imagedata r:id="rId21" o:title=""/>
          </v:shape>
          <o:OLEObject Type="Embed" ProgID="Equation.3" ShapeID="_x0000_i1039" DrawAspect="Content" ObjectID="_1643237749" r:id="rId22"/>
        </w:object>
      </w:r>
      <w:r>
        <w:t xml:space="preserve"> is defined by clause 5.5.1</w:t>
      </w:r>
      <w:r>
        <w:rPr>
          <w:lang w:eastAsia="ko-KR"/>
        </w:rPr>
        <w:t xml:space="preserve">, </w:t>
      </w:r>
      <w:r>
        <w:t>where</w:t>
      </w:r>
      <w:r>
        <w:rPr>
          <w:lang w:eastAsia="ko-KR"/>
        </w:rPr>
        <w:t xml:space="preserve"> </w:t>
      </w:r>
      <w:r>
        <w:rPr>
          <w:position w:val="-6"/>
        </w:rPr>
        <w:object w:dxaOrig="150" w:dyaOrig="150" w14:anchorId="38F1361B">
          <v:shape id="_x0000_i1040" type="#_x0000_t75" style="width:7.5pt;height:7.5pt" o:ole="">
            <v:imagedata r:id="rId23" o:title=""/>
          </v:shape>
          <o:OLEObject Type="Embed" ProgID="Equation.3" ShapeID="_x0000_i1040" DrawAspect="Content" ObjectID="_1643237750" r:id="rId24"/>
        </w:object>
      </w:r>
      <w:r>
        <w:t xml:space="preserve"> </w:t>
      </w:r>
      <w:r>
        <w:rPr>
          <w:lang w:eastAsia="ko-KR"/>
        </w:rPr>
        <w:t xml:space="preserve">is the sequence-group number defined in clause 5.5.1.3, </w:t>
      </w:r>
      <w:r>
        <w:rPr>
          <w:position w:val="-6"/>
        </w:rPr>
        <w:object w:dxaOrig="150" w:dyaOrig="150" w14:anchorId="18B569BA">
          <v:shape id="_x0000_i1041" type="#_x0000_t75" style="width:7.5pt;height:7.5pt" o:ole="">
            <v:imagedata r:id="rId25" o:title=""/>
          </v:shape>
          <o:OLEObject Type="Embed" ProgID="Equation.3" ShapeID="_x0000_i1041" DrawAspect="Content" ObjectID="_1643237751" r:id="rId26"/>
        </w:object>
      </w:r>
      <w:r>
        <w:rPr>
          <w:lang w:eastAsia="ko-KR"/>
        </w:rPr>
        <w:t xml:space="preserve"> is the </w:t>
      </w:r>
      <w:r>
        <w:t>base sequence number</w:t>
      </w:r>
      <w:r>
        <w:rPr>
          <w:lang w:eastAsia="ko-KR"/>
        </w:rPr>
        <w:t xml:space="preserve"> defined in clause 5.5.1.4, and </w:t>
      </w:r>
      <w:r>
        <w:rPr>
          <w:position w:val="-6"/>
        </w:rPr>
        <w:object w:dxaOrig="570" w:dyaOrig="285" w14:anchorId="02A5B5BA">
          <v:shape id="_x0000_i1042" type="#_x0000_t75" style="width:28.8pt;height:14.4pt" o:ole="">
            <v:imagedata r:id="rId27" o:title=""/>
          </v:shape>
          <o:OLEObject Type="Embed" ProgID="Equation.3" ShapeID="_x0000_i1042" DrawAspect="Content" ObjectID="_1643237752" r:id="rId28"/>
        </w:object>
      </w:r>
      <w:r>
        <w:t xml:space="preserve">. </w:t>
      </w:r>
      <w:r>
        <w:rPr>
          <w:rFonts w:eastAsia="Malgun Gothic"/>
        </w:rPr>
        <w:t xml:space="preserve">The cyclic shift </w:t>
      </w:r>
      <w:r>
        <w:rPr>
          <w:position w:val="-14"/>
        </w:rPr>
        <w:object w:dxaOrig="285" w:dyaOrig="285" w14:anchorId="2A395A0B">
          <v:shape id="_x0000_i1043" type="#_x0000_t75" style="width:14.4pt;height:14.4pt" o:ole="">
            <v:imagedata r:id="rId29" o:title=""/>
          </v:shape>
          <o:OLEObject Type="Embed" ProgID="Equation.3" ShapeID="_x0000_i1043" DrawAspect="Content" ObjectID="_1643237753" r:id="rId30"/>
        </w:object>
      </w:r>
      <w:r>
        <w:rPr>
          <w:rFonts w:eastAsia="Malgun Gothic"/>
        </w:rPr>
        <w:t xml:space="preserve"> of the sounding reference signal is given as </w:t>
      </w:r>
    </w:p>
    <w:p w14:paraId="467CBEDA" w14:textId="77777777" w:rsidR="007C0CC4" w:rsidRDefault="007C0CC4" w:rsidP="007C0CC4">
      <w:pPr>
        <w:pStyle w:val="EQ"/>
        <w:jc w:val="center"/>
        <w:rPr>
          <w:rFonts w:eastAsia="Malgun Gothic"/>
          <w:lang w:eastAsia="en-US"/>
        </w:rPr>
      </w:pPr>
      <w:r>
        <w:rPr>
          <w:position w:val="-64"/>
        </w:rPr>
        <w:object w:dxaOrig="3030" w:dyaOrig="1725" w14:anchorId="754017AF">
          <v:shape id="_x0000_i1044" type="#_x0000_t75" style="width:151.5pt;height:86.4pt" o:ole="">
            <v:imagedata r:id="rId31" o:title=""/>
          </v:shape>
          <o:OLEObject Type="Embed" ProgID="Equation.3" ShapeID="_x0000_i1044" DrawAspect="Content" ObjectID="_1643237754" r:id="rId32"/>
        </w:object>
      </w:r>
      <w:r>
        <w:rPr>
          <w:rFonts w:eastAsia="Malgun Gothic"/>
        </w:rPr>
        <w:t>,</w:t>
      </w:r>
    </w:p>
    <w:p w14:paraId="3AB288CA" w14:textId="77777777" w:rsidR="007C0CC4" w:rsidRDefault="007C0CC4" w:rsidP="007C0CC4">
      <w:pPr>
        <w:rPr>
          <w:lang w:eastAsia="zh-CN"/>
        </w:rPr>
      </w:pPr>
      <w:r>
        <w:rPr>
          <w:rFonts w:eastAsia="Malgun Gothic"/>
        </w:rPr>
        <w:t xml:space="preserve">where </w:t>
      </w:r>
      <w:r>
        <w:rPr>
          <w:position w:val="-12"/>
        </w:rPr>
        <w:object w:dxaOrig="1875" w:dyaOrig="285" w14:anchorId="36D9948D">
          <v:shape id="_x0000_i1045" type="#_x0000_t75" style="width:93.9pt;height:14.4pt" o:ole="">
            <v:imagedata r:id="rId33" o:title=""/>
          </v:shape>
          <o:OLEObject Type="Embed" ProgID="Equation.3" ShapeID="_x0000_i1045" DrawAspect="Content" ObjectID="_1643237755" r:id="rId34"/>
        </w:object>
      </w:r>
      <w:r>
        <w:rPr>
          <w:rFonts w:eastAsia="Malgun Gothic"/>
        </w:rPr>
        <w:t xml:space="preserve"> is configured separately for periodic and each configuration of aperiodic sounding by the higher-layer parameters </w:t>
      </w:r>
      <w:proofErr w:type="spellStart"/>
      <w:r>
        <w:rPr>
          <w:rFonts w:eastAsia="Malgun Gothic"/>
          <w:i/>
        </w:rPr>
        <w:t>cyclicShift</w:t>
      </w:r>
      <w:proofErr w:type="spellEnd"/>
      <w:r>
        <w:rPr>
          <w:rFonts w:eastAsia="Malgun Gothic"/>
        </w:rPr>
        <w:t xml:space="preserve"> and </w:t>
      </w:r>
      <w:proofErr w:type="spellStart"/>
      <w:r>
        <w:rPr>
          <w:rFonts w:eastAsia="Malgun Gothic"/>
          <w:i/>
        </w:rPr>
        <w:t>cyclicShift</w:t>
      </w:r>
      <w:proofErr w:type="spellEnd"/>
      <w:r>
        <w:rPr>
          <w:rFonts w:eastAsia="Malgun Gothic"/>
          <w:i/>
        </w:rPr>
        <w:t>-ap</w:t>
      </w:r>
      <w:r>
        <w:rPr>
          <w:rFonts w:eastAsia="Malgun Gothic"/>
        </w:rPr>
        <w:t xml:space="preserve">, respectively, for each UE </w:t>
      </w:r>
      <w:r>
        <w:t>and</w:t>
      </w:r>
      <w:r>
        <w:rPr>
          <w:rFonts w:eastAsia="Malgun Gothic"/>
        </w:rPr>
        <w:t xml:space="preserve"> </w:t>
      </w:r>
      <w:r>
        <w:rPr>
          <w:rFonts w:eastAsia="Malgun Gothic"/>
          <w:position w:val="-14"/>
        </w:rPr>
        <w:object w:dxaOrig="435" w:dyaOrig="285" w14:anchorId="5424C85A">
          <v:shape id="_x0000_i1046" type="#_x0000_t75" style="width:21.9pt;height:14.4pt" o:ole="">
            <v:imagedata r:id="rId35" o:title=""/>
          </v:shape>
          <o:OLEObject Type="Embed" ProgID="Equation.3" ShapeID="_x0000_i1046" DrawAspect="Content" ObjectID="_1643237756" r:id="rId36"/>
        </w:object>
      </w:r>
      <w:r>
        <w:rPr>
          <w:rFonts w:eastAsia="Malgun Gothic"/>
        </w:rPr>
        <w:t xml:space="preserve"> is the number of antenna ports used for sounding reference signal transmission. The parameter </w:t>
      </w:r>
      <w:r>
        <w:rPr>
          <w:position w:val="-10"/>
        </w:rPr>
        <w:object w:dxaOrig="870" w:dyaOrig="285" w14:anchorId="22270A73">
          <v:shape id="_x0000_i1047" type="#_x0000_t75" style="width:43.2pt;height:14.4pt" o:ole="">
            <v:imagedata r:id="rId37" o:title=""/>
          </v:shape>
          <o:OLEObject Type="Embed" ProgID="Equation.3" ShapeID="_x0000_i1047" DrawAspect="Content" ObjectID="_1643237757" r:id="rId38"/>
        </w:object>
      </w:r>
      <w:r>
        <w:t xml:space="preserve"> if </w:t>
      </w:r>
      <w:r>
        <w:rPr>
          <w:position w:val="-10"/>
        </w:rPr>
        <w:object w:dxaOrig="720" w:dyaOrig="285" w14:anchorId="4EC8AAE1">
          <v:shape id="_x0000_i1048" type="#_x0000_t75" style="width:36.3pt;height:14.4pt" o:ole="">
            <v:imagedata r:id="rId39" o:title=""/>
          </v:shape>
          <o:OLEObject Type="Embed" ProgID="Equation.3" ShapeID="_x0000_i1048" DrawAspect="Content" ObjectID="_1643237758" r:id="rId40"/>
        </w:object>
      </w:r>
      <w:r>
        <w:t xml:space="preserve"> , otherwise </w:t>
      </w:r>
      <w:r>
        <w:rPr>
          <w:position w:val="-10"/>
        </w:rPr>
        <w:object w:dxaOrig="1005" w:dyaOrig="285" w14:anchorId="0350500F">
          <v:shape id="_x0000_i1049" type="#_x0000_t75" style="width:50.1pt;height:14.4pt" o:ole="">
            <v:imagedata r:id="rId41" o:title=""/>
          </v:shape>
          <o:OLEObject Type="Embed" ProgID="Equation.3" ShapeID="_x0000_i1049" DrawAspect="Content" ObjectID="_1643237759" r:id="rId42"/>
        </w:object>
      </w:r>
      <w:r>
        <w:t>.</w:t>
      </w:r>
      <w:r>
        <w:rPr>
          <w:lang w:eastAsia="zh-CN"/>
        </w:rPr>
        <w:t xml:space="preserve"> The parameter </w:t>
      </w:r>
      <w:r>
        <w:rPr>
          <w:position w:val="-10"/>
        </w:rPr>
        <w:object w:dxaOrig="435" w:dyaOrig="285" w14:anchorId="3B1C0C84">
          <v:shape id="_x0000_i1050" type="#_x0000_t75" style="width:21.9pt;height:14.4pt" o:ole="">
            <v:imagedata r:id="rId43" o:title=""/>
          </v:shape>
          <o:OLEObject Type="Embed" ProgID="Equation.3" ShapeID="_x0000_i1050" DrawAspect="Content" ObjectID="_1643237760" r:id="rId44"/>
        </w:object>
      </w:r>
      <w:r>
        <w:rPr>
          <w:lang w:eastAsia="zh-CN"/>
        </w:rPr>
        <w:t xml:space="preserve"> is given by the higher layer parameter </w:t>
      </w:r>
      <w:proofErr w:type="spellStart"/>
      <w:r>
        <w:rPr>
          <w:i/>
        </w:rPr>
        <w:t>transmissionCombNum</w:t>
      </w:r>
      <w:proofErr w:type="spellEnd"/>
      <w:r>
        <w:rPr>
          <w:lang w:eastAsia="zh-CN"/>
        </w:rPr>
        <w:t xml:space="preserve"> if configured, otherwise </w:t>
      </w:r>
      <w:r>
        <w:rPr>
          <w:position w:val="-10"/>
        </w:rPr>
        <w:object w:dxaOrig="720" w:dyaOrig="285" w14:anchorId="3E18FF38">
          <v:shape id="_x0000_i1051" type="#_x0000_t75" style="width:36.3pt;height:14.4pt" o:ole="">
            <v:imagedata r:id="rId39" o:title=""/>
          </v:shape>
          <o:OLEObject Type="Embed" ProgID="Equation.3" ShapeID="_x0000_i1051" DrawAspect="Content" ObjectID="_1643237761" r:id="rId45"/>
        </w:object>
      </w:r>
      <w:r>
        <w:rPr>
          <w:lang w:eastAsia="zh-CN"/>
        </w:rPr>
        <w:t>.</w:t>
      </w:r>
    </w:p>
    <w:p w14:paraId="6E366DD2" w14:textId="6770196C" w:rsidR="007C0CC4" w:rsidRPr="00705E9D" w:rsidRDefault="007C0CC4" w:rsidP="007C0CC4">
      <w:pPr>
        <w:pStyle w:val="Heading5"/>
        <w:rPr>
          <w:color w:val="FF0000"/>
          <w:lang w:eastAsia="zh-CN"/>
        </w:rPr>
      </w:pPr>
      <w:r>
        <w:rPr>
          <w:lang w:eastAsia="zh-CN"/>
        </w:rPr>
        <w:t>5.5.3.1.2</w:t>
      </w:r>
      <w:r>
        <w:rPr>
          <w:lang w:eastAsia="zh-CN"/>
        </w:rPr>
        <w:tab/>
        <w:t xml:space="preserve">Sequence generation for </w:t>
      </w:r>
      <w:r w:rsidR="00705E9D" w:rsidRPr="00705E9D">
        <w:rPr>
          <w:color w:val="FF0000"/>
          <w:lang w:eastAsia="zh-CN"/>
        </w:rPr>
        <w:t xml:space="preserve">SRS trigger type 2 </w:t>
      </w:r>
      <w:r w:rsidRPr="00705E9D">
        <w:rPr>
          <w:strike/>
          <w:color w:val="FF0000"/>
          <w:lang w:eastAsia="zh-CN"/>
        </w:rPr>
        <w:t>additional SRS</w:t>
      </w:r>
    </w:p>
    <w:p w14:paraId="391FF339" w14:textId="77777777" w:rsidR="007C0CC4" w:rsidRDefault="007C0CC4" w:rsidP="007C0CC4">
      <w:pPr>
        <w:rPr>
          <w:lang w:eastAsia="zh-CN"/>
        </w:rPr>
      </w:pPr>
      <w:r>
        <w:rPr>
          <w:lang w:eastAsia="zh-CN"/>
        </w:rPr>
        <w:t xml:space="preserve">The sounding reference signal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SRS</m:t>
            </m:r>
          </m:sub>
          <m:sup>
            <m:r>
              <w:rPr>
                <w:rFonts w:ascii="Cambria Math" w:hAnsi="Cambria Math"/>
                <w:lang w:eastAsia="zh-CN"/>
              </w:rPr>
              <m:t>(</m:t>
            </m:r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</m:acc>
            <m:r>
              <w:rPr>
                <w:rFonts w:ascii="Cambria Math" w:hAnsi="Cambria Math"/>
                <w:lang w:eastAsia="zh-CN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</m:oMath>
      <w:r>
        <w:rPr>
          <w:lang w:eastAsia="zh-CN"/>
        </w:rPr>
        <w:t xml:space="preserve"> is defined by clause 5.5.3.1.1 with the following exceptions</w:t>
      </w:r>
    </w:p>
    <w:p w14:paraId="19C294C5" w14:textId="77777777" w:rsidR="007C0CC4" w:rsidRDefault="007C0CC4" w:rsidP="007C0CC4">
      <w:pPr>
        <w:pStyle w:val="B1"/>
        <w:rPr>
          <w:lang w:eastAsia="en-US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SRS</m:t>
            </m:r>
          </m:sub>
          <m:sup>
            <m:r>
              <m:rPr>
                <m:nor/>
              </m:rPr>
              <m:t>cs</m:t>
            </m:r>
          </m:sup>
        </m:sSubSup>
      </m:oMath>
      <w:r>
        <w:t xml:space="preserve"> is given by the higher-layer parameter </w:t>
      </w:r>
      <w:proofErr w:type="spellStart"/>
      <w:r>
        <w:rPr>
          <w:i/>
        </w:rPr>
        <w:t>additionalSRS-cyclicShift</w:t>
      </w:r>
      <w:proofErr w:type="spellEnd"/>
    </w:p>
    <w:p w14:paraId="58D212D8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additionalSRS-AntennaPort</w:t>
      </w:r>
      <w:proofErr w:type="spellEnd"/>
    </w:p>
    <w:p w14:paraId="0E29DB0A" w14:textId="77777777" w:rsidR="007C0CC4" w:rsidRDefault="007C0CC4" w:rsidP="007C0CC4">
      <w:pPr>
        <w:pStyle w:val="B1"/>
        <w:rPr>
          <w:i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additionalSRS-transmissionComb</w:t>
      </w:r>
      <w:proofErr w:type="spellEnd"/>
    </w:p>
    <w:p w14:paraId="76C4B7B1" w14:textId="77777777" w:rsidR="007C0CC4" w:rsidRDefault="007C0CC4" w:rsidP="007C0CC4">
      <w:pPr>
        <w:pStyle w:val="B1"/>
      </w:pPr>
      <w:r>
        <w:t>-</w:t>
      </w:r>
      <w:r>
        <w:tab/>
        <w:t xml:space="preserve">the function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gh</m:t>
            </m:r>
          </m:sub>
        </m:sSub>
      </m:oMath>
      <w:r>
        <w:t xml:space="preserve"> in clause 5.5.1.3 is given by</w:t>
      </w:r>
    </w:p>
    <w:p w14:paraId="73C7EFD1" w14:textId="77777777" w:rsidR="007C0CC4" w:rsidRDefault="007C0CC4" w:rsidP="007C0CC4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m:t>gh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</m:t>
                  </m:r>
                </m:sub>
              </m:sSub>
              <m:r>
                <w:rPr>
                  <w:rFonts w:ascii="Cambria Math" w:hAnsi="Cambria Math"/>
                </w:rPr>
                <m:t>,l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m:t>if group hopping is disabled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7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</m:t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symb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m:t>UL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+l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+i</m:t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m:rPr>
                        <m:nor/>
                      </m:rPr>
                      <m:t xml:space="preserve"> mod </m:t>
                    </m:r>
                    <m:r>
                      <w:rPr>
                        <w:rFonts w:ascii="Cambria Math" w:hAnsi="Cambria Math"/>
                      </w:rPr>
                      <m:t>30</m:t>
                    </m:r>
                  </m:e>
                  <m:e>
                    <m:r>
                      <m:rPr>
                        <m:nor/>
                      </m:rPr>
                      <m:t>if group hopping is enabled</m:t>
                    </m:r>
                  </m:e>
                </m:mr>
              </m:m>
            </m:e>
          </m:d>
        </m:oMath>
      </m:oMathPara>
    </w:p>
    <w:p w14:paraId="58482221" w14:textId="77777777" w:rsidR="007C0CC4" w:rsidRDefault="007C0CC4" w:rsidP="007C0CC4">
      <w:pPr>
        <w:pStyle w:val="B1"/>
      </w:pPr>
      <w:r>
        <w:tab/>
        <w:t xml:space="preserve">where </w:t>
      </w:r>
      <m:oMath>
        <m:r>
          <w:rPr>
            <w:rFonts w:ascii="Cambria Math" w:hAnsi="Cambria Math"/>
          </w:rPr>
          <m:t>l</m:t>
        </m:r>
      </m:oMath>
      <w:r>
        <w:t xml:space="preserve"> is the OFDM symbol index within the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UL</m:t>
            </m:r>
          </m:sup>
        </m:sSubSup>
      </m:oMath>
      <w:r>
        <w:t xml:space="preserve"> is the number of OFDM symbols per slot</w:t>
      </w:r>
    </w:p>
    <w:p w14:paraId="625239E8" w14:textId="77777777" w:rsidR="007C0CC4" w:rsidRDefault="007C0CC4" w:rsidP="007C0CC4">
      <w:pPr>
        <w:pStyle w:val="B1"/>
      </w:pPr>
      <w:r>
        <w:t>-</w:t>
      </w:r>
      <w:r>
        <w:tab/>
        <w:t xml:space="preserve">the function </w:t>
      </w:r>
      <m:oMath>
        <m:r>
          <w:rPr>
            <w:rFonts w:ascii="Cambria Math" w:hAnsi="Cambria Math"/>
          </w:rPr>
          <m:t>v</m:t>
        </m:r>
      </m:oMath>
      <w:r>
        <w:t xml:space="preserve"> in clause 5.5.1.4 is given by</w:t>
      </w:r>
    </w:p>
    <w:p w14:paraId="07846508" w14:textId="77777777" w:rsidR="007C0CC4" w:rsidRDefault="007C0CC4" w:rsidP="007C0CC4">
      <w:pPr>
        <w:pStyle w:val="EQ"/>
      </w:pPr>
      <m:oMathPara>
        <m:oMath>
          <m:r>
            <w:rPr>
              <w:rFonts w:ascii="Cambria Math" w:hAnsi="Cambria Math"/>
            </w:rPr>
            <m:t>v=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UL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+l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>if group hopping is disabled and sequence hopping is enabled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</m:oMath>
      </m:oMathPara>
    </w:p>
    <w:p w14:paraId="7D249F05" w14:textId="77777777" w:rsidR="007C0CC4" w:rsidRDefault="007C0CC4" w:rsidP="007C0CC4">
      <w:pPr>
        <w:pStyle w:val="Heading4"/>
      </w:pPr>
      <w:bookmarkStart w:id="9" w:name="_Toc454817991"/>
      <w:r>
        <w:t>5.5.3.2</w:t>
      </w:r>
      <w:r>
        <w:tab/>
        <w:t>Mapping to physical resources</w:t>
      </w:r>
      <w:bookmarkEnd w:id="9"/>
    </w:p>
    <w:p w14:paraId="00F58F16" w14:textId="6A6ABF04" w:rsidR="007C0CC4" w:rsidRDefault="007C0CC4" w:rsidP="007C0CC4">
      <w:pPr>
        <w:pStyle w:val="Heading5"/>
      </w:pPr>
      <w:r>
        <w:t>5.5.3.2.1</w:t>
      </w:r>
      <w:r>
        <w:tab/>
        <w:t xml:space="preserve">Mapping to physical resources for </w:t>
      </w:r>
      <w:r w:rsidR="00D010B3" w:rsidRPr="007C0CC4">
        <w:rPr>
          <w:color w:val="FF0000"/>
        </w:rPr>
        <w:t xml:space="preserve">SRS trigger types 0 and </w:t>
      </w:r>
      <w:r w:rsidR="00D010B3">
        <w:rPr>
          <w:color w:val="FF0000"/>
        </w:rPr>
        <w:t>1</w:t>
      </w:r>
      <w:r w:rsidR="00D010B3" w:rsidRPr="007C0CC4">
        <w:rPr>
          <w:strike/>
          <w:color w:val="FF0000"/>
        </w:rPr>
        <w:t xml:space="preserve"> basic SRS</w:t>
      </w:r>
    </w:p>
    <w:p w14:paraId="677EF3AA" w14:textId="77777777" w:rsidR="007C0CC4" w:rsidRDefault="007C0CC4" w:rsidP="007C0CC4">
      <w:r>
        <w:t xml:space="preserve">The sequence shall be multiplied with the amplitude scaling factor </w:t>
      </w:r>
      <w:r>
        <w:rPr>
          <w:position w:val="-10"/>
        </w:rPr>
        <w:object w:dxaOrig="435" w:dyaOrig="285" w14:anchorId="6003DAF6">
          <v:shape id="_x0000_i1052" type="#_x0000_t75" style="width:21.9pt;height:14.4pt" o:ole="">
            <v:imagedata r:id="rId46" o:title=""/>
          </v:shape>
          <o:OLEObject Type="Embed" ProgID="Equation.3" ShapeID="_x0000_i1052" DrawAspect="Content" ObjectID="_1643237762" r:id="rId47"/>
        </w:object>
      </w:r>
      <w:r>
        <w:t xml:space="preserve"> in order to conform to the transmit power </w:t>
      </w:r>
      <w:r>
        <w:rPr>
          <w:position w:val="-10"/>
        </w:rPr>
        <w:object w:dxaOrig="435" w:dyaOrig="285" w14:anchorId="0EF4047C">
          <v:shape id="_x0000_i1053" type="#_x0000_t75" style="width:21.9pt;height:14.4pt" o:ole="">
            <v:imagedata r:id="rId48" o:title=""/>
          </v:shape>
          <o:OLEObject Type="Embed" ProgID="Equation.3" ShapeID="_x0000_i1053" DrawAspect="Content" ObjectID="_1643237763" r:id="rId49"/>
        </w:object>
      </w:r>
      <w:r>
        <w:t xml:space="preserve"> specified in clause 5.1.3.1 in 3GPP TS 36.213 [4], and mapped in sequence starting with </w:t>
      </w:r>
      <w:r>
        <w:rPr>
          <w:position w:val="-10"/>
        </w:rPr>
        <w:object w:dxaOrig="720" w:dyaOrig="285" w14:anchorId="425CB8DA">
          <v:shape id="_x0000_i1054" type="#_x0000_t75" style="width:36.3pt;height:14.4pt" o:ole="">
            <v:imagedata r:id="rId50" o:title=""/>
          </v:shape>
          <o:OLEObject Type="Embed" ProgID="Equation.3" ShapeID="_x0000_i1054" DrawAspect="Content" ObjectID="_1643237764" r:id="rId51"/>
        </w:object>
      </w:r>
      <w:r>
        <w:t xml:space="preserve"> to resource elements </w:t>
      </w:r>
      <w:r>
        <w:rPr>
          <w:position w:val="-10"/>
        </w:rPr>
        <w:object w:dxaOrig="435" w:dyaOrig="285" w14:anchorId="7A2C58AF">
          <v:shape id="_x0000_i1055" type="#_x0000_t75" style="width:21.9pt;height:14.4pt" o:ole="">
            <v:imagedata r:id="rId52" o:title=""/>
          </v:shape>
          <o:OLEObject Type="Embed" ProgID="Equation.3" ShapeID="_x0000_i1055" DrawAspect="Content" ObjectID="_1643237765" r:id="rId53"/>
        </w:object>
      </w:r>
      <w:r>
        <w:t xml:space="preserve"> on antenna port </w:t>
      </w:r>
      <w:r>
        <w:rPr>
          <w:position w:val="-10"/>
        </w:rPr>
        <w:object w:dxaOrig="150" w:dyaOrig="285" w14:anchorId="12533B72">
          <v:shape id="_x0000_i1056" type="#_x0000_t75" style="width:7.5pt;height:14.4pt" o:ole="">
            <v:imagedata r:id="rId54" o:title=""/>
          </v:shape>
          <o:OLEObject Type="Embed" ProgID="Equation.3" ShapeID="_x0000_i1056" DrawAspect="Content" ObjectID="_1643237766" r:id="rId55"/>
        </w:object>
      </w:r>
      <w:r>
        <w:t xml:space="preserve"> according to</w:t>
      </w:r>
    </w:p>
    <w:p w14:paraId="0C56B533" w14:textId="77777777" w:rsidR="007C0CC4" w:rsidRDefault="007C0CC4" w:rsidP="007C0CC4">
      <w:pPr>
        <w:pStyle w:val="EQ"/>
        <w:jc w:val="center"/>
      </w:pPr>
      <w:r>
        <w:rPr>
          <w:position w:val="-42"/>
        </w:rPr>
        <w:object w:dxaOrig="4605" w:dyaOrig="870" w14:anchorId="1E1C4049">
          <v:shape id="_x0000_i1057" type="#_x0000_t75" style="width:230.4pt;height:43.2pt" o:ole="">
            <v:imagedata r:id="rId56" o:title=""/>
          </v:shape>
          <o:OLEObject Type="Embed" ProgID="Equation.3" ShapeID="_x0000_i1057" DrawAspect="Content" ObjectID="_1643237767" r:id="rId57"/>
        </w:object>
      </w:r>
    </w:p>
    <w:p w14:paraId="584E84DC" w14:textId="77777777" w:rsidR="006539E4" w:rsidRPr="0055088A" w:rsidRDefault="006539E4" w:rsidP="006539E4">
      <w:pPr>
        <w:jc w:val="center"/>
        <w:rPr>
          <w:color w:val="FF0000"/>
          <w:sz w:val="36"/>
          <w:szCs w:val="36"/>
        </w:rPr>
      </w:pPr>
      <w:r w:rsidRPr="00925370">
        <w:rPr>
          <w:color w:val="FF0000"/>
        </w:rPr>
        <w:t>----------</w:t>
      </w:r>
      <w:r>
        <w:rPr>
          <w:color w:val="FF0000"/>
        </w:rPr>
        <w:t>---------------------</w:t>
      </w:r>
      <w:r w:rsidRPr="00925370">
        <w:rPr>
          <w:color w:val="FF0000"/>
        </w:rPr>
        <w:t>----------------</w:t>
      </w:r>
      <w:r w:rsidRPr="0055088A">
        <w:rPr>
          <w:color w:val="FF0000"/>
          <w:sz w:val="36"/>
          <w:szCs w:val="36"/>
        </w:rPr>
        <w:t xml:space="preserve"> Unchanged text omitted </w:t>
      </w:r>
      <w:r w:rsidRPr="00925370">
        <w:rPr>
          <w:color w:val="FF0000"/>
        </w:rPr>
        <w:t>-------------</w:t>
      </w:r>
      <w:r>
        <w:rPr>
          <w:color w:val="FF0000"/>
        </w:rPr>
        <w:t>-------------------</w:t>
      </w:r>
      <w:r w:rsidRPr="00925370">
        <w:rPr>
          <w:color w:val="FF0000"/>
        </w:rPr>
        <w:t>-----------</w:t>
      </w:r>
    </w:p>
    <w:p w14:paraId="34FAF40D" w14:textId="77777777" w:rsidR="007C0CC4" w:rsidRDefault="007C0CC4" w:rsidP="007C0CC4">
      <w:pPr>
        <w:rPr>
          <w:lang w:eastAsia="en-US"/>
        </w:rPr>
      </w:pPr>
    </w:p>
    <w:p w14:paraId="1A716181" w14:textId="1591834D" w:rsidR="007C0CC4" w:rsidRDefault="007C0CC4" w:rsidP="007C0CC4">
      <w:pPr>
        <w:pStyle w:val="Heading5"/>
      </w:pPr>
      <w:r>
        <w:t>5.5.3.2.2</w:t>
      </w:r>
      <w:r>
        <w:tab/>
        <w:t xml:space="preserve">Mapping to physical resources for </w:t>
      </w:r>
      <w:r w:rsidR="00D010B3" w:rsidRPr="00705E9D">
        <w:rPr>
          <w:color w:val="FF0000"/>
          <w:lang w:eastAsia="zh-CN"/>
        </w:rPr>
        <w:t xml:space="preserve">SRS trigger type 2 </w:t>
      </w:r>
      <w:r w:rsidR="00D010B3" w:rsidRPr="00705E9D">
        <w:rPr>
          <w:strike/>
          <w:color w:val="FF0000"/>
          <w:lang w:eastAsia="zh-CN"/>
        </w:rPr>
        <w:t>additional SRS</w:t>
      </w:r>
    </w:p>
    <w:p w14:paraId="0AB64FFB" w14:textId="714128C6" w:rsidR="007C0CC4" w:rsidRDefault="007C0CC4" w:rsidP="007C0CC4">
      <w:r>
        <w:t xml:space="preserve">An </w:t>
      </w:r>
      <w:r w:rsidRPr="0055088A">
        <w:rPr>
          <w:strike/>
          <w:color w:val="FF0000"/>
        </w:rPr>
        <w:t xml:space="preserve">additional </w:t>
      </w:r>
      <w:r>
        <w:t>SRS</w:t>
      </w:r>
      <w:r w:rsidR="0055088A" w:rsidRPr="0055088A">
        <w:rPr>
          <w:color w:val="FF0000"/>
        </w:rPr>
        <w:t xml:space="preserve"> of trigger type 2</w:t>
      </w:r>
      <w:r>
        <w:t xml:space="preserve"> spans one or more OFDM symbols in the time domain, where</w:t>
      </w:r>
    </w:p>
    <w:p w14:paraId="0F2719EB" w14:textId="77777777" w:rsidR="007C0CC4" w:rsidRDefault="007C0CC4" w:rsidP="007C0CC4">
      <w:pPr>
        <w:pStyle w:val="B1"/>
      </w:pPr>
      <w:r>
        <w:t>-</w:t>
      </w:r>
      <w:r>
        <w:tab/>
        <w:t xml:space="preserve">the starting OFDM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within the subframe is given by the higher-layer parameter </w:t>
      </w:r>
      <w:proofErr w:type="spellStart"/>
      <w:r>
        <w:rPr>
          <w:i/>
        </w:rPr>
        <w:t>additionalSRS-startPos</w:t>
      </w:r>
      <w:proofErr w:type="spellEnd"/>
      <w:r>
        <w:t>;</w:t>
      </w:r>
    </w:p>
    <w:p w14:paraId="6A19F5A8" w14:textId="77777777" w:rsidR="007C0CC4" w:rsidRDefault="007C0CC4" w:rsidP="007C0CC4">
      <w:pPr>
        <w:pStyle w:val="B1"/>
      </w:pPr>
      <w:r>
        <w:t>-</w:t>
      </w:r>
      <w:r>
        <w:tab/>
        <w:t xml:space="preserve">the duration </w:t>
      </w:r>
      <m:oMath>
        <m:r>
          <w:rPr>
            <w:rFonts w:ascii="Cambria Math" w:hAnsi="Cambria Math"/>
          </w:rPr>
          <m:t>N</m:t>
        </m:r>
      </m:oMath>
      <w:r>
        <w:t xml:space="preserve"> in number of OFDM symbols, including potential guard symbols, is given by the higher-layer parameter </w:t>
      </w:r>
      <w:proofErr w:type="spellStart"/>
      <w:r>
        <w:rPr>
          <w:i/>
        </w:rPr>
        <w:t>additionalSRS</w:t>
      </w:r>
      <w:proofErr w:type="spellEnd"/>
      <w:r>
        <w:rPr>
          <w:i/>
        </w:rPr>
        <w:t>-duration</w:t>
      </w:r>
      <w:r>
        <w:t>;</w:t>
      </w:r>
    </w:p>
    <w:p w14:paraId="00F20B19" w14:textId="77777777" w:rsidR="007C0CC4" w:rsidRDefault="007C0CC4" w:rsidP="007C0CC4">
      <w:r>
        <w:t>Mapping to physical resources shall be done according to clause 5.5.3.2.1 with the following exceptions:</w:t>
      </w:r>
    </w:p>
    <w:p w14:paraId="60A0621F" w14:textId="77777777" w:rsidR="007C0CC4" w:rsidRDefault="007C0CC4" w:rsidP="007C0CC4">
      <w:pPr>
        <w:pStyle w:val="B1"/>
      </w:pPr>
      <w:r>
        <w:t>-</w:t>
      </w:r>
      <w:r>
        <w:tab/>
        <w:t xml:space="preserve">frequency hopping between OFDM symbols is supported and if a UE is configured by higher layer parameter </w:t>
      </w:r>
      <w:proofErr w:type="spellStart"/>
      <w:r>
        <w:rPr>
          <w:i/>
        </w:rPr>
        <w:t>additionalSRS-GuardSymbolFH</w:t>
      </w:r>
      <w:proofErr w:type="spellEnd"/>
      <w:r>
        <w:t>, a guard symbol is added between every frequency hop;</w:t>
      </w:r>
    </w:p>
    <w:p w14:paraId="03E12744" w14:textId="7F56A833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>
        <w:t xml:space="preserve"> where </w:t>
      </w:r>
      <m:oMath>
        <m:r>
          <w:rPr>
            <w:rFonts w:ascii="Cambria Math" w:hAnsi="Cambria Math"/>
          </w:rPr>
          <m:t>l</m:t>
        </m:r>
      </m:oMath>
      <w:r>
        <w:t xml:space="preserve"> is the index of the OFDM symbol number carrying </w:t>
      </w:r>
      <w:r w:rsidR="0055088A" w:rsidRPr="0055088A">
        <w:rPr>
          <w:strike/>
          <w:color w:val="FF0000"/>
        </w:rPr>
        <w:t xml:space="preserve">additional </w:t>
      </w:r>
      <w:r w:rsidR="0055088A">
        <w:t>SRS</w:t>
      </w:r>
      <w:r w:rsidR="0055088A" w:rsidRPr="0055088A">
        <w:rPr>
          <w:color w:val="FF0000"/>
        </w:rPr>
        <w:t xml:space="preserve"> of trigger type 2</w:t>
      </w:r>
      <w:r w:rsidR="0055088A">
        <w:t xml:space="preserve"> </w:t>
      </w:r>
      <w:r>
        <w:t xml:space="preserve">within the subframe not counting guard symbol(s), and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1,2,3,4,6,7,8,9,12,13</m:t>
            </m:r>
          </m:e>
        </m:d>
      </m:oMath>
      <w:r>
        <w:t xml:space="preserve"> is the repetition factor given by the higher-layer parameter </w:t>
      </w:r>
      <w:proofErr w:type="spellStart"/>
      <w:r>
        <w:rPr>
          <w:i/>
        </w:rPr>
        <w:t>additionalSRS-RepNum</w:t>
      </w:r>
      <w:proofErr w:type="spellEnd"/>
      <w:r>
        <w:t>;</w:t>
      </w:r>
    </w:p>
    <w:p w14:paraId="6FAC1F23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</w:t>
      </w:r>
      <w:proofErr w:type="spellEnd"/>
      <w:r>
        <w:rPr>
          <w:i/>
        </w:rPr>
        <w:t>-Bandwidth</w:t>
      </w:r>
      <w:r>
        <w:t>;</w:t>
      </w:r>
    </w:p>
    <w:p w14:paraId="39336DD6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hop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additionalSRS-HoppingBandwidth</w:t>
      </w:r>
      <w:proofErr w:type="spellEnd"/>
      <w:r>
        <w:t>;</w:t>
      </w:r>
    </w:p>
    <w:p w14:paraId="050988C8" w14:textId="699A7A36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is the number of frequency hops for </w:t>
      </w:r>
      <w:r w:rsidR="0055088A" w:rsidRPr="0055088A">
        <w:rPr>
          <w:strike/>
          <w:color w:val="FF0000"/>
        </w:rPr>
        <w:t xml:space="preserve">additional </w:t>
      </w:r>
      <w:r w:rsidR="0055088A">
        <w:t>SRS</w:t>
      </w:r>
      <w:r w:rsidR="0055088A" w:rsidRPr="0055088A">
        <w:rPr>
          <w:color w:val="FF0000"/>
        </w:rPr>
        <w:t xml:space="preserve"> of trigger type 2</w:t>
      </w:r>
      <w:r>
        <w:t xml:space="preserve">, derived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if antenna switching is not configured for </w:t>
      </w:r>
      <w:r w:rsidR="0055088A" w:rsidRPr="0055088A">
        <w:rPr>
          <w:strike/>
          <w:color w:val="FF0000"/>
        </w:rPr>
        <w:t xml:space="preserve">additional </w:t>
      </w:r>
      <w:r w:rsidR="0055088A">
        <w:t>SRS</w:t>
      </w:r>
      <w:r w:rsidR="0055088A" w:rsidRPr="0055088A">
        <w:rPr>
          <w:color w:val="FF0000"/>
        </w:rPr>
        <w:t xml:space="preserve"> of trigger type 2</w:t>
      </w:r>
      <w:r>
        <w:t xml:space="preserve">, and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if antenna switching is configured for </w:t>
      </w:r>
      <w:r w:rsidR="0055088A" w:rsidRPr="0055088A">
        <w:rPr>
          <w:strike/>
          <w:color w:val="FF0000"/>
        </w:rPr>
        <w:t xml:space="preserve">additional </w:t>
      </w:r>
      <w:r w:rsidR="0055088A">
        <w:t>SRS</w:t>
      </w:r>
      <w:r w:rsidR="0055088A" w:rsidRPr="0055088A">
        <w:rPr>
          <w:color w:val="FF0000"/>
        </w:rPr>
        <w:t xml:space="preserve"> of trigger type 2</w:t>
      </w:r>
      <w:r>
        <w:t xml:space="preserve">, where </w:t>
      </w:r>
      <m:oMath>
        <m:r>
          <w:rPr>
            <w:rFonts w:ascii="Cambria Math" w:hAnsi="Cambria Math"/>
          </w:rPr>
          <m:t>R</m:t>
        </m:r>
      </m:oMath>
      <w:r>
        <w:t xml:space="preserve"> is the repetition factor given by the higher-layer parameter </w:t>
      </w:r>
      <w:proofErr w:type="spellStart"/>
      <w:r>
        <w:rPr>
          <w:i/>
        </w:rPr>
        <w:t>additionalSRS-RepNum</w:t>
      </w:r>
      <w:proofErr w:type="spellEnd"/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>
        <w:t xml:space="preserve"> is the number of antenna switches for </w:t>
      </w:r>
      <w:r w:rsidR="0055088A" w:rsidRPr="0055088A">
        <w:rPr>
          <w:strike/>
          <w:color w:val="FF0000"/>
        </w:rPr>
        <w:t xml:space="preserve">additional </w:t>
      </w:r>
      <w:r w:rsidR="0055088A">
        <w:t>SRS</w:t>
      </w:r>
      <w:r w:rsidR="0055088A" w:rsidRPr="0055088A">
        <w:rPr>
          <w:color w:val="FF0000"/>
        </w:rPr>
        <w:t xml:space="preserve"> of trigger type 2</w:t>
      </w:r>
      <w:r w:rsidR="0055088A">
        <w:t xml:space="preserve"> </w:t>
      </w:r>
      <w:r>
        <w:t xml:space="preserve">defined in 8.2 of [4],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guard-symbol configuration for antenna switching given by the higher-layer parameter </w:t>
      </w:r>
      <w:proofErr w:type="spellStart"/>
      <w:r>
        <w:rPr>
          <w:i/>
        </w:rPr>
        <w:t>additionalSRS-GuardSymbolAS</w:t>
      </w:r>
      <w:proofErr w:type="spellEnd"/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 symbol configuration for f</w:t>
      </w:r>
      <w:proofErr w:type="spellStart"/>
      <w:r>
        <w:t>requency</w:t>
      </w:r>
      <w:proofErr w:type="spellEnd"/>
      <w:r>
        <w:t xml:space="preserve"> hopping given by the higher-layer parameter </w:t>
      </w:r>
      <w:proofErr w:type="spellStart"/>
      <w:r>
        <w:rPr>
          <w:i/>
        </w:rPr>
        <w:t>additionalSRS-GuardSymbolFH</w:t>
      </w:r>
      <w:proofErr w:type="spellEnd"/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is given by the higher-layer parameter </w:t>
      </w:r>
      <w:proofErr w:type="spellStart"/>
      <w:r>
        <w:rPr>
          <w:i/>
        </w:rPr>
        <w:t>additionalSRS</w:t>
      </w:r>
      <w:proofErr w:type="spellEnd"/>
      <w:r>
        <w:rPr>
          <w:i/>
        </w:rPr>
        <w:t>-duration</w:t>
      </w:r>
      <w:r>
        <w:t>;</w:t>
      </w:r>
    </w:p>
    <w:p w14:paraId="59D1128F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RRC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freqDomainPosition-additionalSRS</w:t>
      </w:r>
      <w:proofErr w:type="spellEnd"/>
      <w:r>
        <w:t>;</w:t>
      </w:r>
    </w:p>
    <w:p w14:paraId="44C1D0BD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additionalSRS-AntennaPort</w:t>
      </w:r>
      <w:proofErr w:type="spellEnd"/>
      <w:r>
        <w:t>;</w:t>
      </w:r>
    </w:p>
    <w:p w14:paraId="5A71C5DD" w14:textId="77777777" w:rsidR="007C0CC4" w:rsidRDefault="007C0CC4" w:rsidP="007C0CC4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cs</m:t>
            </m:r>
          </m:sup>
        </m:sSubSup>
      </m:oMath>
      <w:r>
        <w:t xml:space="preserve"> is given by the higher-layer parameter </w:t>
      </w:r>
      <w:proofErr w:type="spellStart"/>
      <w:r>
        <w:rPr>
          <w:i/>
        </w:rPr>
        <w:t>additionalSRS-cyclicShift</w:t>
      </w:r>
      <w:proofErr w:type="spellEnd"/>
      <w:r>
        <w:t>;</w:t>
      </w:r>
    </w:p>
    <w:p w14:paraId="59C09C01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additionalSRS-transmissionCombNum</w:t>
      </w:r>
      <w:proofErr w:type="spellEnd"/>
      <w:r>
        <w:t>;</w:t>
      </w:r>
    </w:p>
    <w:p w14:paraId="4D2DC1B5" w14:textId="77777777" w:rsidR="007C0CC4" w:rsidRDefault="007C0CC4" w:rsidP="007C0CC4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additionalSRS-transmissionComb</w:t>
      </w:r>
      <w:proofErr w:type="spellEnd"/>
      <w:r>
        <w:t>.</w:t>
      </w:r>
    </w:p>
    <w:p w14:paraId="7C95B8D4" w14:textId="77777777" w:rsidR="004D5A05" w:rsidRDefault="004D5A05" w:rsidP="004D5A05">
      <w:pPr>
        <w:rPr>
          <w:color w:val="000000"/>
        </w:rPr>
      </w:pPr>
    </w:p>
    <w:p w14:paraId="16E08698" w14:textId="7BAE1FC1" w:rsidR="004D5A05" w:rsidRPr="0048482F" w:rsidRDefault="004D5A05" w:rsidP="004D5A05">
      <w:pPr>
        <w:rPr>
          <w:color w:val="000000"/>
        </w:rPr>
      </w:pPr>
      <w:r>
        <w:rPr>
          <w:color w:val="000000"/>
        </w:rPr>
        <w:t>-------------------------------------</w:t>
      </w:r>
      <w:r w:rsidR="001E018E">
        <w:rPr>
          <w:color w:val="000000"/>
        </w:rPr>
        <w:t>----</w:t>
      </w:r>
      <w:r>
        <w:rPr>
          <w:color w:val="000000"/>
        </w:rPr>
        <w:t>--</w:t>
      </w:r>
      <w:r w:rsidR="009E67EE">
        <w:rPr>
          <w:color w:val="000000"/>
        </w:rPr>
        <w:t xml:space="preserve"> </w:t>
      </w:r>
      <w:r w:rsidRPr="001E018E">
        <w:rPr>
          <w:color w:val="000000"/>
          <w:sz w:val="36"/>
          <w:szCs w:val="36"/>
        </w:rPr>
        <w:t xml:space="preserve">End of proposed TP </w:t>
      </w:r>
      <w:r w:rsidR="009E67EE">
        <w:rPr>
          <w:color w:val="000000"/>
          <w:sz w:val="36"/>
          <w:szCs w:val="36"/>
        </w:rPr>
        <w:t xml:space="preserve">1 </w:t>
      </w:r>
      <w:r>
        <w:rPr>
          <w:color w:val="000000"/>
        </w:rPr>
        <w:t>----------------------------------------------------</w:t>
      </w:r>
    </w:p>
    <w:p w14:paraId="3E982626" w14:textId="2017105D" w:rsidR="004D5A05" w:rsidRDefault="004D5A05" w:rsidP="004D5A05">
      <w:pPr>
        <w:pStyle w:val="Observation"/>
        <w:numPr>
          <w:ilvl w:val="0"/>
          <w:numId w:val="0"/>
        </w:numPr>
        <w:ind w:left="1701" w:hanging="1701"/>
      </w:pPr>
    </w:p>
    <w:p w14:paraId="2FDB7BA7" w14:textId="32FD7F34" w:rsidR="006504B1" w:rsidRDefault="006504B1" w:rsidP="004D5A05">
      <w:pPr>
        <w:pStyle w:val="Observation"/>
        <w:numPr>
          <w:ilvl w:val="0"/>
          <w:numId w:val="0"/>
        </w:numPr>
        <w:ind w:left="1701" w:hanging="1701"/>
      </w:pPr>
    </w:p>
    <w:p w14:paraId="739EEAC7" w14:textId="1F113A86" w:rsidR="006504B1" w:rsidRPr="006504B1" w:rsidRDefault="006504B1" w:rsidP="006504B1">
      <w:pPr>
        <w:pStyle w:val="Heading2"/>
      </w:pPr>
      <w:r>
        <w:t>2.2</w:t>
      </w:r>
      <w:r>
        <w:tab/>
      </w:r>
      <w:r w:rsidR="00B54432">
        <w:t>Collision handling between additional SRS and PUCCH/PUSCH</w:t>
      </w:r>
    </w:p>
    <w:p w14:paraId="32A1C463" w14:textId="65C926E3" w:rsidR="006504B1" w:rsidRDefault="00B54432" w:rsidP="006504B1">
      <w:r>
        <w:t>In the Rel-16 LTE MIMO WI, the following agreement was made:</w:t>
      </w:r>
    </w:p>
    <w:p w14:paraId="70E5B7B1" w14:textId="1AE5E7B0" w:rsidR="00470A07" w:rsidRDefault="00470A07" w:rsidP="006504B1"/>
    <w:p w14:paraId="7ADA1B66" w14:textId="77777777" w:rsidR="00470A07" w:rsidRPr="00E10156" w:rsidRDefault="00470A07" w:rsidP="00470A07">
      <w:pPr>
        <w:rPr>
          <w:b/>
          <w:bCs/>
          <w:lang w:eastAsia="x-none"/>
        </w:rPr>
      </w:pPr>
      <w:r w:rsidRPr="008C32FA">
        <w:rPr>
          <w:b/>
          <w:bCs/>
          <w:highlight w:val="green"/>
          <w:lang w:eastAsia="x-none"/>
        </w:rPr>
        <w:t>Agreement</w:t>
      </w:r>
    </w:p>
    <w:p w14:paraId="1C5A0215" w14:textId="77777777" w:rsidR="00470A07" w:rsidRPr="008C32FA" w:rsidRDefault="00470A07" w:rsidP="00470A07">
      <w:r w:rsidRPr="008C32FA">
        <w:t xml:space="preserve">For the handling of </w:t>
      </w:r>
      <w:r w:rsidRPr="008C32FA">
        <w:rPr>
          <w:rFonts w:eastAsia="Malgun Gothic"/>
          <w:lang w:eastAsia="zh-CN"/>
        </w:rPr>
        <w:t xml:space="preserve">collision of SRS and PUCCH/PUSCH/PRACH transmission for UEs not supporting </w:t>
      </w:r>
      <w:proofErr w:type="spellStart"/>
      <w:r w:rsidRPr="008C32FA">
        <w:rPr>
          <w:rFonts w:eastAsia="Malgun Gothic"/>
          <w:lang w:eastAsia="zh-CN"/>
        </w:rPr>
        <w:t>sPUSCH</w:t>
      </w:r>
      <w:proofErr w:type="spellEnd"/>
      <w:r w:rsidRPr="008C32FA">
        <w:rPr>
          <w:rFonts w:eastAsia="Malgun Gothic"/>
          <w:lang w:eastAsia="zh-CN"/>
        </w:rPr>
        <w:t>/</w:t>
      </w:r>
      <w:proofErr w:type="spellStart"/>
      <w:r w:rsidRPr="008C32FA">
        <w:rPr>
          <w:rFonts w:eastAsia="Malgun Gothic"/>
          <w:lang w:eastAsia="zh-CN"/>
        </w:rPr>
        <w:t>sPUCCH</w:t>
      </w:r>
      <w:proofErr w:type="spellEnd"/>
      <w:r w:rsidRPr="008C32FA">
        <w:rPr>
          <w:rFonts w:eastAsia="Malgun Gothic"/>
          <w:lang w:eastAsia="zh-CN"/>
        </w:rPr>
        <w:t xml:space="preserve"> </w:t>
      </w:r>
    </w:p>
    <w:p w14:paraId="00F61040" w14:textId="440E9F8B" w:rsidR="00470A07" w:rsidRDefault="00470A07" w:rsidP="00470A07">
      <w:pPr>
        <w:pStyle w:val="ListParagraph"/>
        <w:numPr>
          <w:ilvl w:val="0"/>
          <w:numId w:val="36"/>
        </w:numPr>
      </w:pPr>
      <w:r w:rsidRPr="00470A07">
        <w:rPr>
          <w:rFonts w:eastAsia="Malgun Gothic"/>
        </w:rPr>
        <w:t>UE is not expected to be triggered with SRS and PUCCH/PUSCH/PRACH on colliding subframes.</w:t>
      </w:r>
    </w:p>
    <w:p w14:paraId="185F4BA6" w14:textId="2508B0CE" w:rsidR="00470A07" w:rsidRDefault="00470A07" w:rsidP="006504B1">
      <w:pPr>
        <w:rPr>
          <w:iCs/>
        </w:rPr>
      </w:pPr>
    </w:p>
    <w:p w14:paraId="59738CF3" w14:textId="2DFCD533" w:rsidR="00470A07" w:rsidRPr="00CF0F61" w:rsidRDefault="00470A07" w:rsidP="006504B1">
      <w:pPr>
        <w:rPr>
          <w:iCs/>
        </w:rPr>
      </w:pPr>
      <w:r>
        <w:rPr>
          <w:iCs/>
        </w:rPr>
        <w:t xml:space="preserve">According to the above agreements, UEs not capable of </w:t>
      </w:r>
      <w:proofErr w:type="spellStart"/>
      <w:r>
        <w:rPr>
          <w:iCs/>
        </w:rPr>
        <w:t>sPUSCH</w:t>
      </w:r>
      <w:proofErr w:type="spellEnd"/>
      <w:r>
        <w:rPr>
          <w:iCs/>
        </w:rPr>
        <w:t>/</w:t>
      </w:r>
      <w:proofErr w:type="spellStart"/>
      <w:r>
        <w:rPr>
          <w:iCs/>
        </w:rPr>
        <w:t>sPUCCH</w:t>
      </w:r>
      <w:proofErr w:type="spellEnd"/>
      <w:r>
        <w:rPr>
          <w:iCs/>
        </w:rPr>
        <w:t xml:space="preserve">, are not expected to be triggered with additional SRS on subframes in which PUCCH/PUSCH are to be transmitted.  However, </w:t>
      </w:r>
      <w:r w:rsidR="00031209">
        <w:rPr>
          <w:iCs/>
        </w:rPr>
        <w:t xml:space="preserve">for such UEs, the specification </w:t>
      </w:r>
      <w:r w:rsidR="00031209">
        <w:rPr>
          <w:iCs/>
        </w:rPr>
        <w:t>in clause 8.2 of TS36.213</w:t>
      </w:r>
      <w:r w:rsidR="00031209">
        <w:rPr>
          <w:iCs/>
        </w:rPr>
        <w:t xml:space="preserve"> incorrectly states that the additional SRS are not expected to be triggered in same symbols as a PUSCH/PUCCH.  This may give the impression that PUSCH/PUCCH and additional SRS transmissions can be in the same subframe </w:t>
      </w:r>
      <w:proofErr w:type="gramStart"/>
      <w:r w:rsidR="00031209">
        <w:rPr>
          <w:iCs/>
        </w:rPr>
        <w:t>as long as</w:t>
      </w:r>
      <w:proofErr w:type="gramEnd"/>
      <w:r w:rsidR="00031209">
        <w:rPr>
          <w:iCs/>
        </w:rPr>
        <w:t xml:space="preserve"> they do not overlap which may be misleading.   Here, the ‘symbols’ need to be replaced by ‘subframes’ to be more </w:t>
      </w:r>
      <w:proofErr w:type="spellStart"/>
      <w:r w:rsidR="00031209">
        <w:rPr>
          <w:iCs/>
        </w:rPr>
        <w:t>inline</w:t>
      </w:r>
      <w:proofErr w:type="spellEnd"/>
      <w:r w:rsidR="00031209">
        <w:rPr>
          <w:iCs/>
        </w:rPr>
        <w:t xml:space="preserve"> with the agreement in work item phase.</w:t>
      </w:r>
    </w:p>
    <w:p w14:paraId="64A0ADD1" w14:textId="03391B3F" w:rsidR="001E018E" w:rsidRDefault="001E018E" w:rsidP="004D5A05">
      <w:pPr>
        <w:pStyle w:val="Observation"/>
        <w:numPr>
          <w:ilvl w:val="0"/>
          <w:numId w:val="0"/>
        </w:numPr>
        <w:ind w:left="1701" w:hanging="1701"/>
      </w:pPr>
    </w:p>
    <w:p w14:paraId="55A9A8DD" w14:textId="7944CEBF" w:rsidR="005D52E1" w:rsidRPr="0023226A" w:rsidRDefault="00031209" w:rsidP="005D52E1">
      <w:pPr>
        <w:pStyle w:val="Observation"/>
        <w:rPr>
          <w:iCs/>
        </w:rPr>
      </w:pPr>
      <w:bookmarkStart w:id="10" w:name="_Toc32624082"/>
      <w:r>
        <w:rPr>
          <w:iCs/>
        </w:rPr>
        <w:t>T</w:t>
      </w:r>
      <w:r>
        <w:rPr>
          <w:iCs/>
        </w:rPr>
        <w:t>he specification in clause 8.2 of TS36.213 incorrectly states that</w:t>
      </w:r>
      <w:r>
        <w:rPr>
          <w:iCs/>
        </w:rPr>
        <w:t xml:space="preserve"> for UEs not capable of </w:t>
      </w:r>
      <w:proofErr w:type="spellStart"/>
      <w:r>
        <w:rPr>
          <w:iCs/>
        </w:rPr>
        <w:t>sPUSCH</w:t>
      </w:r>
      <w:proofErr w:type="spellEnd"/>
      <w:r>
        <w:rPr>
          <w:iCs/>
        </w:rPr>
        <w:t>/</w:t>
      </w:r>
      <w:proofErr w:type="spellStart"/>
      <w:r>
        <w:rPr>
          <w:iCs/>
        </w:rPr>
        <w:t>sPUCCH</w:t>
      </w:r>
      <w:proofErr w:type="spellEnd"/>
      <w:r>
        <w:rPr>
          <w:iCs/>
        </w:rPr>
        <w:t>,</w:t>
      </w:r>
      <w:r>
        <w:rPr>
          <w:iCs/>
        </w:rPr>
        <w:t xml:space="preserve"> the additional SRS are not expected to be triggered in same symbols as a PUSCH/PUCCH</w:t>
      </w:r>
      <w:r w:rsidR="00440819">
        <w:t>.</w:t>
      </w:r>
      <w:r>
        <w:t xml:space="preserve">  To be inline with the agreement in work item phase, </w:t>
      </w:r>
      <w:r w:rsidR="00180495">
        <w:t>the term ‘symbols’ need to be replaced by ‘subframes’.</w:t>
      </w:r>
      <w:bookmarkEnd w:id="10"/>
    </w:p>
    <w:p w14:paraId="68C019F9" w14:textId="74EC47EF" w:rsidR="005D52E1" w:rsidRDefault="00366FDF" w:rsidP="005D52E1">
      <w:pPr>
        <w:pStyle w:val="Proposal"/>
      </w:pPr>
      <w:bookmarkStart w:id="11" w:name="_Toc32624085"/>
      <w:r>
        <w:t xml:space="preserve">Based on observation </w:t>
      </w:r>
      <w:r>
        <w:t>2</w:t>
      </w:r>
      <w:r>
        <w:t>, we propose to agree TP</w:t>
      </w:r>
      <w:r>
        <w:t>2</w:t>
      </w:r>
      <w:r>
        <w:t xml:space="preserve"> for TS 36.21</w:t>
      </w:r>
      <w:r>
        <w:t>3</w:t>
      </w:r>
      <w:r w:rsidR="005D52E1" w:rsidRPr="00A04F49">
        <w:t>.</w:t>
      </w:r>
      <w:bookmarkEnd w:id="11"/>
    </w:p>
    <w:p w14:paraId="40D6FE14" w14:textId="12DE15F8" w:rsidR="001E018E" w:rsidRDefault="001E018E" w:rsidP="004D5A05">
      <w:pPr>
        <w:pStyle w:val="Observation"/>
        <w:numPr>
          <w:ilvl w:val="0"/>
          <w:numId w:val="0"/>
        </w:numPr>
        <w:ind w:left="1701" w:hanging="1701"/>
      </w:pPr>
    </w:p>
    <w:p w14:paraId="33EDC529" w14:textId="43B17E46" w:rsidR="001E018E" w:rsidRDefault="001E018E" w:rsidP="004D5A05">
      <w:pPr>
        <w:pStyle w:val="Observation"/>
        <w:numPr>
          <w:ilvl w:val="0"/>
          <w:numId w:val="0"/>
        </w:numPr>
        <w:ind w:left="1701" w:hanging="1701"/>
      </w:pPr>
    </w:p>
    <w:p w14:paraId="66D8AEE6" w14:textId="2DA7B1F0" w:rsidR="00C32A35" w:rsidRPr="00B70B5D" w:rsidRDefault="00C32A35" w:rsidP="00C32A35">
      <w:r w:rsidRPr="00B70B5D">
        <w:t>--------------------------</w:t>
      </w:r>
      <w:r>
        <w:t xml:space="preserve"> </w:t>
      </w:r>
      <w:r w:rsidRPr="001E018E">
        <w:rPr>
          <w:sz w:val="36"/>
          <w:szCs w:val="36"/>
        </w:rPr>
        <w:t>Start of proposed TP</w:t>
      </w:r>
      <w:r>
        <w:rPr>
          <w:sz w:val="36"/>
          <w:szCs w:val="36"/>
        </w:rPr>
        <w:t>2</w:t>
      </w:r>
      <w:r w:rsidRPr="001E018E">
        <w:rPr>
          <w:sz w:val="36"/>
          <w:szCs w:val="36"/>
        </w:rPr>
        <w:t xml:space="preserve"> for </w:t>
      </w:r>
      <w:r>
        <w:rPr>
          <w:sz w:val="36"/>
          <w:szCs w:val="36"/>
        </w:rPr>
        <w:t xml:space="preserve">TS </w:t>
      </w:r>
      <w:proofErr w:type="gramStart"/>
      <w:r w:rsidRPr="001E018E">
        <w:rPr>
          <w:sz w:val="36"/>
          <w:szCs w:val="36"/>
        </w:rPr>
        <w:t>3</w:t>
      </w:r>
      <w:r>
        <w:rPr>
          <w:sz w:val="36"/>
          <w:szCs w:val="36"/>
        </w:rPr>
        <w:t>6</w:t>
      </w:r>
      <w:r w:rsidRPr="001E018E">
        <w:rPr>
          <w:sz w:val="36"/>
          <w:szCs w:val="36"/>
        </w:rPr>
        <w:t>.21</w:t>
      </w:r>
      <w:r>
        <w:rPr>
          <w:sz w:val="36"/>
          <w:szCs w:val="36"/>
        </w:rPr>
        <w:t>3</w:t>
      </w:r>
      <w:r w:rsidRPr="001E018E">
        <w:rPr>
          <w:sz w:val="36"/>
          <w:szCs w:val="36"/>
        </w:rPr>
        <w:t xml:space="preserve"> </w:t>
      </w:r>
      <w:r w:rsidRPr="001E018E">
        <w:rPr>
          <w:sz w:val="24"/>
          <w:szCs w:val="24"/>
        </w:rPr>
        <w:t xml:space="preserve"> </w:t>
      </w:r>
      <w:r w:rsidRPr="00B70B5D">
        <w:t>------------------------------------</w:t>
      </w:r>
      <w:proofErr w:type="gramEnd"/>
    </w:p>
    <w:p w14:paraId="17C8522B" w14:textId="77777777" w:rsidR="00925370" w:rsidRPr="000D3CFB" w:rsidRDefault="00925370" w:rsidP="00925370">
      <w:pPr>
        <w:pStyle w:val="Heading2"/>
      </w:pPr>
      <w:bookmarkStart w:id="12" w:name="_Toc415085492"/>
      <w:r w:rsidRPr="000D3CFB">
        <w:t>8.2</w:t>
      </w:r>
      <w:r w:rsidRPr="000D3CFB">
        <w:tab/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  <w:bookmarkEnd w:id="12"/>
    </w:p>
    <w:p w14:paraId="7BBD883D" w14:textId="5A5F2649" w:rsidR="00C32A35" w:rsidRPr="0055088A" w:rsidRDefault="00C32A35" w:rsidP="00C32A35">
      <w:pPr>
        <w:jc w:val="center"/>
        <w:rPr>
          <w:color w:val="FF0000"/>
          <w:sz w:val="36"/>
          <w:szCs w:val="36"/>
        </w:rPr>
      </w:pPr>
      <w:r w:rsidRPr="00925370">
        <w:rPr>
          <w:color w:val="FF0000"/>
        </w:rPr>
        <w:t>----------</w:t>
      </w:r>
      <w:r w:rsidR="00925370">
        <w:rPr>
          <w:color w:val="FF0000"/>
        </w:rPr>
        <w:t>---------------------</w:t>
      </w:r>
      <w:r w:rsidRPr="00925370">
        <w:rPr>
          <w:color w:val="FF0000"/>
        </w:rPr>
        <w:t>----------------</w:t>
      </w:r>
      <w:r w:rsidRPr="0055088A">
        <w:rPr>
          <w:color w:val="FF0000"/>
          <w:sz w:val="36"/>
          <w:szCs w:val="36"/>
        </w:rPr>
        <w:t xml:space="preserve"> Unchanged text omitted </w:t>
      </w:r>
      <w:r w:rsidRPr="00925370">
        <w:rPr>
          <w:color w:val="FF0000"/>
        </w:rPr>
        <w:t>-------------</w:t>
      </w:r>
      <w:r w:rsidR="00925370">
        <w:rPr>
          <w:color w:val="FF0000"/>
        </w:rPr>
        <w:t>-------------------</w:t>
      </w:r>
      <w:r w:rsidRPr="00925370">
        <w:rPr>
          <w:color w:val="FF0000"/>
        </w:rPr>
        <w:t>-----------</w:t>
      </w:r>
    </w:p>
    <w:p w14:paraId="30E23778" w14:textId="77777777" w:rsidR="00925370" w:rsidRPr="000D3CFB" w:rsidRDefault="00925370" w:rsidP="00925370">
      <w:pPr>
        <w:rPr>
          <w:rFonts w:eastAsia="MS Mincho"/>
        </w:rPr>
      </w:pPr>
      <w:r w:rsidRPr="000D3CFB">
        <w:rPr>
          <w:rFonts w:eastAsia="MS Mincho"/>
        </w:rPr>
        <w:t xml:space="preserve">A </w:t>
      </w:r>
      <w:r w:rsidRPr="000D3CFB">
        <w:rPr>
          <w:rFonts w:eastAsia="MS Mincho" w:hint="eastAsia"/>
        </w:rPr>
        <w:t>UE shall not transmit SRS</w:t>
      </w:r>
      <w:r w:rsidRPr="000D3CFB">
        <w:rPr>
          <w:rFonts w:eastAsia="MS Mincho"/>
        </w:rPr>
        <w:t xml:space="preserve"> whenever SRS and a</w:t>
      </w:r>
      <w:r w:rsidRPr="000D3CFB">
        <w:rPr>
          <w:rFonts w:eastAsia="MS Mincho" w:hint="eastAsia"/>
        </w:rPr>
        <w:t xml:space="preserve"> </w:t>
      </w:r>
      <w:r w:rsidRPr="000D3CFB">
        <w:rPr>
          <w:rFonts w:eastAsia="MS Mincho"/>
        </w:rPr>
        <w:t xml:space="preserve">PUSCH transmission corresponding to a </w:t>
      </w:r>
      <w:proofErr w:type="gramStart"/>
      <w:r w:rsidRPr="000D3CFB">
        <w:rPr>
          <w:rFonts w:eastAsia="MS Mincho"/>
        </w:rPr>
        <w:t>Random Access</w:t>
      </w:r>
      <w:proofErr w:type="gramEnd"/>
      <w:r w:rsidRPr="000D3CFB">
        <w:rPr>
          <w:rFonts w:eastAsia="MS Mincho"/>
        </w:rPr>
        <w:t xml:space="preserve"> Response Grant or a retransmission of the same transport block as part of the contention based random access procedure coincide in the same subframe</w:t>
      </w:r>
      <w:r w:rsidRPr="000D3CFB">
        <w:rPr>
          <w:rFonts w:eastAsia="MS Mincho" w:hint="eastAsia"/>
        </w:rPr>
        <w:t>.</w:t>
      </w:r>
    </w:p>
    <w:p w14:paraId="7176B2C2" w14:textId="1A794EA7" w:rsidR="00925370" w:rsidRPr="000D3CFB" w:rsidRDefault="00925370" w:rsidP="00925370">
      <w:r>
        <w:t xml:space="preserve">A UE not configured with higher layer parameter </w:t>
      </w:r>
      <w:r w:rsidRPr="00925370">
        <w:rPr>
          <w:i/>
        </w:rPr>
        <w:t>ul-STTI-Length</w:t>
      </w:r>
      <w:r>
        <w:t xml:space="preserve"> is not expected to be triggered with trigger type 2 SRS transmission in the same </w:t>
      </w:r>
      <w:r w:rsidRPr="00925370">
        <w:rPr>
          <w:color w:val="FF0000"/>
        </w:rPr>
        <w:t xml:space="preserve">subframes </w:t>
      </w:r>
      <w:r w:rsidRPr="00925370">
        <w:rPr>
          <w:strike/>
          <w:color w:val="FF0000"/>
        </w:rPr>
        <w:t>symbols</w:t>
      </w:r>
      <w:r w:rsidRPr="00925370">
        <w:rPr>
          <w:color w:val="FF0000"/>
        </w:rPr>
        <w:t xml:space="preserve"> </w:t>
      </w:r>
      <w:r>
        <w:t>as a PUSCH/PUCCH.</w:t>
      </w:r>
    </w:p>
    <w:p w14:paraId="7B269961" w14:textId="03D4FB90" w:rsidR="006504B1" w:rsidRPr="0048482F" w:rsidRDefault="006504B1" w:rsidP="006504B1">
      <w:pPr>
        <w:rPr>
          <w:color w:val="000000"/>
        </w:rPr>
      </w:pPr>
      <w:r>
        <w:rPr>
          <w:color w:val="000000"/>
        </w:rPr>
        <w:t>-------------------------------------------</w:t>
      </w:r>
      <w:r w:rsidRPr="001E018E">
        <w:rPr>
          <w:color w:val="000000"/>
          <w:sz w:val="36"/>
          <w:szCs w:val="36"/>
        </w:rPr>
        <w:t>End of proposed TP</w:t>
      </w:r>
      <w:r w:rsidR="00C32A35">
        <w:rPr>
          <w:color w:val="000000"/>
          <w:sz w:val="36"/>
          <w:szCs w:val="36"/>
        </w:rPr>
        <w:t xml:space="preserve"> 2</w:t>
      </w:r>
      <w:r w:rsidRPr="001E018E">
        <w:rPr>
          <w:color w:val="000000"/>
          <w:sz w:val="36"/>
          <w:szCs w:val="36"/>
        </w:rPr>
        <w:t xml:space="preserve"> </w:t>
      </w:r>
      <w:r>
        <w:rPr>
          <w:color w:val="000000"/>
        </w:rPr>
        <w:t>----------------------------------------------------</w:t>
      </w:r>
    </w:p>
    <w:p w14:paraId="0E0F7AA2" w14:textId="77777777" w:rsidR="001E018E" w:rsidRPr="00CE0424" w:rsidRDefault="001E018E" w:rsidP="004D5A05">
      <w:pPr>
        <w:pStyle w:val="Observation"/>
        <w:numPr>
          <w:ilvl w:val="0"/>
          <w:numId w:val="0"/>
        </w:numPr>
        <w:ind w:left="1701" w:hanging="1701"/>
      </w:pPr>
    </w:p>
    <w:p w14:paraId="302DBBA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583ED72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1996C0E" w14:textId="77777777" w:rsidR="00366FD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624081" w:history="1">
        <w:r w:rsidR="00366FDF" w:rsidRPr="00C40EC6">
          <w:rPr>
            <w:rStyle w:val="Hyperlink"/>
            <w:iCs/>
            <w:noProof/>
          </w:rPr>
          <w:t>Observation 1</w:t>
        </w:r>
        <w:r w:rsidR="00366FD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66FDF" w:rsidRPr="00C40EC6">
          <w:rPr>
            <w:rStyle w:val="Hyperlink"/>
            <w:noProof/>
          </w:rPr>
          <w:t>TS 36.211 introduces two types of SRSs while TS 36.213 introduces 3 types</w:t>
        </w:r>
        <w:r w:rsidR="00366FDF" w:rsidRPr="00C40EC6">
          <w:rPr>
            <w:rStyle w:val="Hyperlink"/>
            <w:iCs/>
            <w:noProof/>
          </w:rPr>
          <w:t xml:space="preserve"> which require alignment of terminology between the two specifications.</w:t>
        </w:r>
      </w:hyperlink>
    </w:p>
    <w:p w14:paraId="15D30CB0" w14:textId="77777777" w:rsidR="00366FDF" w:rsidRDefault="00366F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624082" w:history="1">
        <w:r w:rsidRPr="00C40EC6">
          <w:rPr>
            <w:rStyle w:val="Hyperlink"/>
            <w:iCs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40EC6">
          <w:rPr>
            <w:rStyle w:val="Hyperlink"/>
            <w:iCs/>
            <w:noProof/>
          </w:rPr>
          <w:t>The specification in clause 8.2 of TS36.213 incorrectly states that for UEs not capable of sPUSCH/sPUCCH, the additional SRS are not expected to be triggered in same symbols as a PUSCH/PUCCH</w:t>
        </w:r>
        <w:r w:rsidRPr="00C40EC6">
          <w:rPr>
            <w:rStyle w:val="Hyperlink"/>
            <w:noProof/>
          </w:rPr>
          <w:t>.  To be inline with the agreement in work item phase, the term ‘symbols’ need to be replaced by ‘subframes’.</w:t>
        </w:r>
      </w:hyperlink>
    </w:p>
    <w:p w14:paraId="587683D0" w14:textId="2914E4C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3" w:name="_GoBack"/>
      <w:bookmarkEnd w:id="13"/>
    </w:p>
    <w:p w14:paraId="55ABA564" w14:textId="77777777" w:rsidR="006E1C82" w:rsidRDefault="006E1C82" w:rsidP="008E065E">
      <w:pPr>
        <w:pStyle w:val="BodyText"/>
        <w:rPr>
          <w:b/>
          <w:bCs/>
        </w:rPr>
      </w:pPr>
    </w:p>
    <w:p w14:paraId="34F4DD9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BF22039" w14:textId="77777777" w:rsidR="00366FD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624084" w:history="1">
        <w:r w:rsidR="00366FDF" w:rsidRPr="0011209E">
          <w:rPr>
            <w:rStyle w:val="Hyperlink"/>
            <w:noProof/>
          </w:rPr>
          <w:t>Proposal 1</w:t>
        </w:r>
        <w:r w:rsidR="00366FD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366FDF" w:rsidRPr="0011209E">
          <w:rPr>
            <w:rStyle w:val="Hyperlink"/>
            <w:noProof/>
          </w:rPr>
          <w:t>Based on observation 1, we propose to agree TP1 for TS 36.211.</w:t>
        </w:r>
      </w:hyperlink>
    </w:p>
    <w:p w14:paraId="02CAFB55" w14:textId="77777777" w:rsidR="00366FDF" w:rsidRDefault="00366F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624085" w:history="1">
        <w:r w:rsidRPr="0011209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11209E">
          <w:rPr>
            <w:rStyle w:val="Hyperlink"/>
            <w:noProof/>
          </w:rPr>
          <w:t>Based on observation 2, we propose to agree TP2 for TS 36.213.</w:t>
        </w:r>
      </w:hyperlink>
    </w:p>
    <w:p w14:paraId="19DFD76E" w14:textId="4F05C8B8" w:rsidR="003A7EF3" w:rsidRPr="00CE0424" w:rsidRDefault="006E1C82" w:rsidP="00CE0424">
      <w:pPr>
        <w:pStyle w:val="BodyText"/>
      </w:pPr>
      <w:r>
        <w:rPr>
          <w:b/>
          <w:bCs/>
          <w:lang w:val="en-US"/>
        </w:rPr>
        <w:fldChar w:fldCharType="end"/>
      </w:r>
    </w:p>
    <w:sectPr w:rsidR="003A7EF3" w:rsidRPr="00CE0424" w:rsidSect="00C473A5">
      <w:headerReference w:type="even" r:id="rId58"/>
      <w:footerReference w:type="default" r:id="rId5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ECF34" w14:textId="77777777" w:rsidR="004447DD" w:rsidRDefault="004447DD">
      <w:r>
        <w:separator/>
      </w:r>
    </w:p>
  </w:endnote>
  <w:endnote w:type="continuationSeparator" w:id="0">
    <w:p w14:paraId="6799C73A" w14:textId="77777777" w:rsidR="004447DD" w:rsidRDefault="0044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B7A3A" w14:textId="77777777" w:rsidR="007C0CC4" w:rsidRDefault="007C0CC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5C827" w14:textId="77777777" w:rsidR="004447DD" w:rsidRDefault="004447DD">
      <w:r>
        <w:separator/>
      </w:r>
    </w:p>
  </w:footnote>
  <w:footnote w:type="continuationSeparator" w:id="0">
    <w:p w14:paraId="6A238E03" w14:textId="77777777" w:rsidR="004447DD" w:rsidRDefault="00444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7A851" w14:textId="77777777" w:rsidR="007C0CC4" w:rsidRDefault="007C0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TAJ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A014A544"/>
    <w:lvl w:ilvl="0">
      <w:start w:val="1"/>
      <w:numFmt w:val="decimal"/>
      <w:pStyle w:val="NO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7830EE"/>
    <w:lvl w:ilvl="0">
      <w:start w:val="1"/>
      <w:numFmt w:val="bullet"/>
      <w:pStyle w:val="EditorsNot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44B3C8"/>
    <w:lvl w:ilvl="0">
      <w:start w:val="1"/>
      <w:numFmt w:val="bullet"/>
      <w:pStyle w:val="List5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FE11C4"/>
    <w:lvl w:ilvl="0">
      <w:start w:val="1"/>
      <w:numFmt w:val="bullet"/>
      <w:pStyle w:val="List4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E008A0"/>
    <w:lvl w:ilvl="0">
      <w:start w:val="1"/>
      <w:numFmt w:val="bullet"/>
      <w:pStyle w:val="List3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206B6A"/>
    <w:lvl w:ilvl="0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CB564"/>
    <w:lvl w:ilvl="0">
      <w:start w:val="1"/>
      <w:numFmt w:val="bullet"/>
      <w:pStyle w:val="TOC7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GTdoc"/>
      <w:lvlText w:val="*"/>
      <w:lvlJc w:val="left"/>
      <w:pPr>
        <w:ind w:left="0" w:firstLine="0"/>
      </w:pPr>
    </w:lvl>
  </w:abstractNum>
  <w:abstractNum w:abstractNumId="1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F847706"/>
    <w:multiLevelType w:val="hybridMultilevel"/>
    <w:tmpl w:val="F7A03AEA"/>
    <w:lvl w:ilvl="0" w:tplc="C64E36A0">
      <w:start w:val="1"/>
      <w:numFmt w:val="bullet"/>
      <w:pStyle w:val="HeaderChar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DocumentMap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Number2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Figure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1F5295"/>
    <w:multiLevelType w:val="hybridMultilevel"/>
    <w:tmpl w:val="BD2A9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List5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FootnoteTextChar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B3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ZB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DocumentMapChar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TOC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FootnoteReference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1"/>
  </w:num>
  <w:num w:numId="4">
    <w:abstractNumId w:val="22"/>
  </w:num>
  <w:num w:numId="5">
    <w:abstractNumId w:val="16"/>
  </w:num>
  <w:num w:numId="6">
    <w:abstractNumId w:val="24"/>
  </w:num>
  <w:num w:numId="7">
    <w:abstractNumId w:val="29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3"/>
  </w:num>
  <w:num w:numId="16">
    <w:abstractNumId w:val="30"/>
  </w:num>
  <w:num w:numId="17">
    <w:abstractNumId w:val="13"/>
  </w:num>
  <w:num w:numId="18">
    <w:abstractNumId w:val="14"/>
  </w:num>
  <w:num w:numId="19">
    <w:abstractNumId w:val="12"/>
  </w:num>
  <w:num w:numId="20">
    <w:abstractNumId w:val="34"/>
  </w:num>
  <w:num w:numId="21">
    <w:abstractNumId w:val="18"/>
  </w:num>
  <w:num w:numId="22">
    <w:abstractNumId w:val="33"/>
  </w:num>
  <w:num w:numId="23">
    <w:abstractNumId w:val="25"/>
  </w:num>
  <w:num w:numId="24">
    <w:abstractNumId w:val="20"/>
  </w:num>
  <w:num w:numId="25">
    <w:abstractNumId w:val="31"/>
  </w:num>
  <w:num w:numId="26">
    <w:abstractNumId w:val="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10"/>
  </w:num>
  <w:num w:numId="34">
    <w:abstractNumId w:val="10"/>
    <w:lvlOverride w:ilvl="0">
      <w:lvl w:ilvl="0">
        <w:numFmt w:val="bullet"/>
        <w:pStyle w:val="LGTdoc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32"/>
  </w:num>
  <w:num w:numId="3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18E"/>
    <w:rsid w:val="000006E1"/>
    <w:rsid w:val="00000DF8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20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7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2D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0C5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0495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018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8EB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0D8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FDF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819"/>
    <w:rsid w:val="00441A92"/>
    <w:rsid w:val="004431DC"/>
    <w:rsid w:val="004447DD"/>
    <w:rsid w:val="00444F56"/>
    <w:rsid w:val="00446488"/>
    <w:rsid w:val="004517AA"/>
    <w:rsid w:val="00452CAC"/>
    <w:rsid w:val="004561B7"/>
    <w:rsid w:val="00457565"/>
    <w:rsid w:val="00457B71"/>
    <w:rsid w:val="00464689"/>
    <w:rsid w:val="004669E2"/>
    <w:rsid w:val="00470A07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5A0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015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88A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52E1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671"/>
    <w:rsid w:val="006504B1"/>
    <w:rsid w:val="00650AB9"/>
    <w:rsid w:val="006539E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C8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E9D"/>
    <w:rsid w:val="00706101"/>
    <w:rsid w:val="00707072"/>
    <w:rsid w:val="00707D61"/>
    <w:rsid w:val="00712287"/>
    <w:rsid w:val="00712772"/>
    <w:rsid w:val="007148D3"/>
    <w:rsid w:val="00715B9A"/>
    <w:rsid w:val="007257D0"/>
    <w:rsid w:val="00726C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CC4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16C"/>
    <w:rsid w:val="00803FAE"/>
    <w:rsid w:val="0080605F"/>
    <w:rsid w:val="00807786"/>
    <w:rsid w:val="00811FCB"/>
    <w:rsid w:val="008158D6"/>
    <w:rsid w:val="00816154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370"/>
    <w:rsid w:val="00931BD9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7EE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BBB"/>
    <w:rsid w:val="00AB0BC8"/>
    <w:rsid w:val="00AB11CA"/>
    <w:rsid w:val="00AB14D9"/>
    <w:rsid w:val="00AB4AB8"/>
    <w:rsid w:val="00AB655E"/>
    <w:rsid w:val="00AB69DA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435"/>
    <w:rsid w:val="00B207F4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432"/>
    <w:rsid w:val="00B548B7"/>
    <w:rsid w:val="00B5733A"/>
    <w:rsid w:val="00B664C7"/>
    <w:rsid w:val="00B70B5D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33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902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A3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973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F61"/>
    <w:rsid w:val="00CF1354"/>
    <w:rsid w:val="00CF3B1F"/>
    <w:rsid w:val="00CF3BF6"/>
    <w:rsid w:val="00CF625B"/>
    <w:rsid w:val="00CF687E"/>
    <w:rsid w:val="00D010B3"/>
    <w:rsid w:val="00D0349B"/>
    <w:rsid w:val="00D04BB0"/>
    <w:rsid w:val="00D04E43"/>
    <w:rsid w:val="00D10249"/>
    <w:rsid w:val="00D115C3"/>
    <w:rsid w:val="00D11897"/>
    <w:rsid w:val="00D13135"/>
    <w:rsid w:val="00D13E4E"/>
    <w:rsid w:val="00D155B8"/>
    <w:rsid w:val="00D239A7"/>
    <w:rsid w:val="00D23F47"/>
    <w:rsid w:val="00D26A8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E3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4C6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EAC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43B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312669"/>
    <w:rPr>
      <w:rFonts w:ascii="Times New Roman" w:hAnsi="Times New Roman"/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character" w:customStyle="1" w:styleId="ListChar">
    <w:name w:val="List Char"/>
    <w:link w:val="List"/>
    <w:locked/>
    <w:rsid w:val="007C0CC4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link w:val="List2Char"/>
    <w:rsid w:val="003A70A4"/>
    <w:pPr>
      <w:ind w:left="851"/>
    </w:pPr>
    <w:rPr>
      <w:lang w:eastAsia="ja-JP"/>
    </w:rPr>
  </w:style>
  <w:style w:type="character" w:customStyle="1" w:styleId="List2Char">
    <w:name w:val="List 2 Char"/>
    <w:basedOn w:val="ListChar"/>
    <w:link w:val="List2"/>
    <w:locked/>
    <w:rsid w:val="007C0CC4"/>
    <w:rPr>
      <w:rFonts w:ascii="Arial" w:hAnsi="Arial"/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character" w:customStyle="1" w:styleId="List3Char">
    <w:name w:val="List 3 Char"/>
    <w:basedOn w:val="List2Char"/>
    <w:link w:val="List3"/>
    <w:locked/>
    <w:rsid w:val="007C0CC4"/>
    <w:rPr>
      <w:rFonts w:ascii="Arial" w:hAnsi="Arial"/>
      <w:lang w:eastAsia="ja-JP"/>
    </w:r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character" w:customStyle="1" w:styleId="TACChar">
    <w:name w:val="TAC Char"/>
    <w:link w:val="TAC"/>
    <w:qFormat/>
    <w:locked/>
    <w:rsid w:val="00312669"/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3126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12669"/>
    <w:rPr>
      <w:rFonts w:ascii="Arial" w:hAnsi="Arial"/>
      <w:spacing w:val="2"/>
      <w:lang w:val="en-US" w:eastAsia="en-US"/>
    </w:rPr>
  </w:style>
  <w:style w:type="character" w:customStyle="1" w:styleId="B1Zchn">
    <w:name w:val="B1 Zchn"/>
    <w:qFormat/>
    <w:rsid w:val="004D5A05"/>
    <w:rPr>
      <w:lang w:eastAsia="en-US"/>
    </w:rPr>
  </w:style>
  <w:style w:type="character" w:customStyle="1" w:styleId="B3Char">
    <w:name w:val="B3 Char"/>
    <w:rsid w:val="001E018E"/>
    <w:rPr>
      <w:lang w:eastAsia="en-US"/>
    </w:rPr>
  </w:style>
  <w:style w:type="paragraph" w:customStyle="1" w:styleId="msonormal0">
    <w:name w:val="msonormal"/>
    <w:basedOn w:val="Normal"/>
    <w:rsid w:val="007C0C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B10">
    <w:name w:val="B1 (文字)"/>
    <w:uiPriority w:val="99"/>
    <w:locked/>
    <w:rsid w:val="007C0CC4"/>
    <w:rPr>
      <w:lang w:eastAsia="en-US"/>
    </w:rPr>
  </w:style>
  <w:style w:type="paragraph" w:customStyle="1" w:styleId="INDENT1">
    <w:name w:val="INDENT1"/>
    <w:basedOn w:val="Normal"/>
    <w:rsid w:val="007C0CC4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rsid w:val="007C0CC4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rsid w:val="007C0CC4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RecCCITT">
    <w:name w:val="Rec_CCITT_#"/>
    <w:basedOn w:val="Normal"/>
    <w:rsid w:val="007C0CC4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rsid w:val="007C0CC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rsid w:val="007C0CC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customStyle="1" w:styleId="CharChar3CharCharCharCharCharChar">
    <w:name w:val="Char Char3 Char Char Char Char Char Char"/>
    <w:semiHidden/>
    <w:rsid w:val="007C0CC4"/>
    <w:pPr>
      <w:keepNext/>
      <w:numPr>
        <w:numId w:val="33"/>
      </w:numPr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7C0CC4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tdoc-header">
    <w:name w:val="tdoc-header"/>
    <w:rsid w:val="007C0CC4"/>
    <w:rPr>
      <w:rFonts w:ascii="Arial" w:hAnsi="Arial"/>
      <w:noProof/>
      <w:sz w:val="24"/>
      <w:lang w:eastAsia="en-US"/>
    </w:rPr>
  </w:style>
  <w:style w:type="paragraph" w:customStyle="1" w:styleId="LGTdoc">
    <w:name w:val="LGTdoc_본문"/>
    <w:basedOn w:val="Normal"/>
    <w:rsid w:val="007C0CC4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Default">
    <w:name w:val="Default"/>
    <w:rsid w:val="007C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7C0CC4"/>
    <w:rPr>
      <w:rFonts w:ascii="Arial" w:hAnsi="Arial" w:cs="Arial" w:hint="default"/>
      <w:sz w:val="18"/>
      <w:lang w:val="en-GB" w:eastAsia="en-US"/>
    </w:rPr>
  </w:style>
  <w:style w:type="character" w:customStyle="1" w:styleId="TAHChar">
    <w:name w:val="TAH Char"/>
    <w:locked/>
    <w:rsid w:val="007C0CC4"/>
    <w:rPr>
      <w:rFonts w:ascii="Arial" w:hAnsi="Arial" w:cs="Arial" w:hint="default"/>
      <w:b/>
      <w:bCs w:val="0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1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19.wmf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C5D3-76FB-436E-8567-441C879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1664</Words>
  <Characters>9490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On number of SRS types</vt:lpstr>
      <vt:lpstr>        5.5.3	Sounding reference signal </vt:lpstr>
      <vt:lpstr>    2.2	Collision handling between additional SRS and PUCCH/PUSCH</vt:lpstr>
      <vt:lpstr>    8.2	UE sounding procedure</vt:lpstr>
      <vt:lpstr>Conclusion</vt:lpstr>
    </vt:vector>
  </TitlesOfParts>
  <Company/>
  <LinksUpToDate>false</LinksUpToDate>
  <CharactersWithSpaces>11132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2020-02-15T06:55:00Z</dcterms:created>
  <dcterms:modified xsi:type="dcterms:W3CDTF">2020-02-15T06:55:00Z</dcterms:modified>
  <cp:category/>
</cp:coreProperties>
</file>